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AD1B" w14:textId="77777777" w:rsidR="00BA0B77" w:rsidRDefault="00000000">
      <w:pPr>
        <w:spacing w:after="142" w:line="265" w:lineRule="auto"/>
        <w:ind w:left="-8654" w:right="133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EFCC96" wp14:editId="538889A8">
            <wp:simplePos x="0" y="0"/>
            <wp:positionH relativeFrom="column">
              <wp:posOffset>-90995</wp:posOffset>
            </wp:positionH>
            <wp:positionV relativeFrom="paragraph">
              <wp:posOffset>68658</wp:posOffset>
            </wp:positionV>
            <wp:extent cx="1786128" cy="573024"/>
            <wp:effectExtent l="0" t="0" r="0" b="0"/>
            <wp:wrapSquare wrapText="bothSides"/>
            <wp:docPr id="12761" name="Picture 12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" name="Picture 127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3741"/>
        </w:rPr>
        <w:t xml:space="preserve">R.U nr. 28 </w:t>
      </w:r>
    </w:p>
    <w:p w14:paraId="6243BCB3" w14:textId="77777777" w:rsidR="00BA0B77" w:rsidRDefault="00000000">
      <w:pPr>
        <w:spacing w:after="672" w:line="265" w:lineRule="auto"/>
        <w:ind w:left="-8654" w:right="133" w:hanging="10"/>
        <w:jc w:val="right"/>
      </w:pPr>
      <w:r>
        <w:rPr>
          <w:color w:val="303741"/>
        </w:rPr>
        <w:t xml:space="preserve"> 30.06.2026 </w:t>
      </w:r>
    </w:p>
    <w:p w14:paraId="5BAAFB56" w14:textId="77777777" w:rsidR="00BA0B77" w:rsidRDefault="00000000">
      <w:pPr>
        <w:spacing w:after="0" w:line="265" w:lineRule="auto"/>
        <w:ind w:left="845" w:hanging="10"/>
        <w:jc w:val="left"/>
      </w:pPr>
      <w:proofErr w:type="spellStart"/>
      <w:r>
        <w:rPr>
          <w:b/>
          <w:color w:val="303741"/>
          <w:sz w:val="30"/>
        </w:rPr>
        <w:t>Deputat</w:t>
      </w:r>
      <w:proofErr w:type="spellEnd"/>
      <w:r>
        <w:rPr>
          <w:b/>
          <w:color w:val="303741"/>
          <w:sz w:val="30"/>
        </w:rPr>
        <w:t xml:space="preserve"> </w:t>
      </w:r>
      <w:proofErr w:type="spellStart"/>
      <w:r>
        <w:rPr>
          <w:b/>
          <w:color w:val="303741"/>
          <w:sz w:val="30"/>
        </w:rPr>
        <w:t>în</w:t>
      </w:r>
      <w:proofErr w:type="spellEnd"/>
      <w:r>
        <w:rPr>
          <w:b/>
          <w:color w:val="303741"/>
          <w:sz w:val="30"/>
        </w:rPr>
        <w:t xml:space="preserve"> </w:t>
      </w:r>
      <w:proofErr w:type="spellStart"/>
      <w:r>
        <w:rPr>
          <w:b/>
          <w:color w:val="303741"/>
          <w:sz w:val="30"/>
        </w:rPr>
        <w:t>Parlamentul</w:t>
      </w:r>
      <w:proofErr w:type="spellEnd"/>
      <w:r>
        <w:rPr>
          <w:b/>
          <w:color w:val="303741"/>
          <w:sz w:val="30"/>
        </w:rPr>
        <w:t xml:space="preserve"> </w:t>
      </w:r>
    </w:p>
    <w:p w14:paraId="49790A0D" w14:textId="77777777" w:rsidR="00BA0B77" w:rsidRDefault="00000000">
      <w:pPr>
        <w:spacing w:after="511" w:line="265" w:lineRule="auto"/>
        <w:ind w:left="845" w:hanging="10"/>
        <w:jc w:val="left"/>
      </w:pPr>
      <w:proofErr w:type="spellStart"/>
      <w:r>
        <w:rPr>
          <w:b/>
          <w:color w:val="303741"/>
          <w:sz w:val="30"/>
        </w:rPr>
        <w:t>Republicii</w:t>
      </w:r>
      <w:proofErr w:type="spellEnd"/>
      <w:r>
        <w:rPr>
          <w:b/>
          <w:color w:val="303741"/>
          <w:sz w:val="30"/>
        </w:rPr>
        <w:t xml:space="preserve"> Moldova</w:t>
      </w:r>
    </w:p>
    <w:p w14:paraId="43837F92" w14:textId="77777777" w:rsidR="00BA0B77" w:rsidRDefault="00000000">
      <w:pPr>
        <w:spacing w:after="258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26C1DEA1" w14:textId="77777777" w:rsidR="00BA0B77" w:rsidRDefault="00000000">
      <w:pPr>
        <w:pStyle w:val="Heading1"/>
      </w:pPr>
      <w:proofErr w:type="spellStart"/>
      <w:r>
        <w:t>Domnului</w:t>
      </w:r>
      <w:proofErr w:type="spellEnd"/>
      <w:r>
        <w:t xml:space="preserve"> CARP Lilian,</w:t>
      </w:r>
      <w:r>
        <w:rPr>
          <w:u w:val="none"/>
        </w:rPr>
        <w:t xml:space="preserve"> </w:t>
      </w:r>
    </w:p>
    <w:p w14:paraId="7686911D" w14:textId="77777777" w:rsidR="00BA0B77" w:rsidRDefault="00000000">
      <w:pPr>
        <w:spacing w:after="2" w:line="238" w:lineRule="auto"/>
        <w:ind w:left="891" w:right="75" w:firstLine="0"/>
        <w:jc w:val="right"/>
      </w:pPr>
      <w:proofErr w:type="spellStart"/>
      <w:r>
        <w:rPr>
          <w:b/>
          <w:sz w:val="28"/>
        </w:rPr>
        <w:t>Președintele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Comisiei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anchetă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examinarea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fenomenului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escrocheriilor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telefonice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financiare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digitale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evaluarea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eficienţei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măsurilor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prevenire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combatere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acestora</w:t>
      </w:r>
      <w:proofErr w:type="spellEnd"/>
      <w:r>
        <w:rPr>
          <w:b/>
          <w:sz w:val="28"/>
        </w:rPr>
        <w:t xml:space="preserve"> </w:t>
      </w:r>
    </w:p>
    <w:p w14:paraId="237A0271" w14:textId="77777777" w:rsidR="00BA0B77" w:rsidRDefault="00000000">
      <w:pPr>
        <w:spacing w:after="0" w:line="259" w:lineRule="auto"/>
        <w:ind w:left="0" w:firstLine="0"/>
        <w:jc w:val="right"/>
      </w:pPr>
      <w:r>
        <w:rPr>
          <w:b/>
          <w:sz w:val="28"/>
        </w:rPr>
        <w:t xml:space="preserve"> </w:t>
      </w:r>
    </w:p>
    <w:p w14:paraId="1ABC7B1A" w14:textId="77777777" w:rsidR="00BA0B77" w:rsidRDefault="00000000">
      <w:pPr>
        <w:spacing w:after="84" w:line="259" w:lineRule="auto"/>
        <w:ind w:left="0" w:right="4" w:firstLine="0"/>
        <w:jc w:val="right"/>
      </w:pPr>
      <w:r>
        <w:rPr>
          <w:sz w:val="28"/>
        </w:rPr>
        <w:t xml:space="preserve"> </w:t>
      </w:r>
    </w:p>
    <w:p w14:paraId="4BCB43F3" w14:textId="77777777" w:rsidR="00BA0B77" w:rsidRDefault="00000000">
      <w:pPr>
        <w:spacing w:after="218" w:line="259" w:lineRule="auto"/>
        <w:ind w:left="778" w:firstLine="0"/>
        <w:jc w:val="center"/>
      </w:pPr>
      <w:r>
        <w:rPr>
          <w:b/>
          <w:sz w:val="28"/>
        </w:rPr>
        <w:t>PROPUNERI SUPLIMENTARE</w:t>
      </w:r>
      <w:r>
        <w:t xml:space="preserve"> </w:t>
      </w:r>
    </w:p>
    <w:p w14:paraId="4FFAA143" w14:textId="77777777" w:rsidR="00BA0B77" w:rsidRDefault="00000000">
      <w:pPr>
        <w:ind w:right="67" w:firstLine="0"/>
      </w:pPr>
      <w:r>
        <w:t xml:space="preserve">la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anchetă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fenomenului</w:t>
      </w:r>
      <w:proofErr w:type="spellEnd"/>
      <w:r>
        <w:t xml:space="preserve"> </w:t>
      </w:r>
      <w:proofErr w:type="spellStart"/>
      <w:r>
        <w:t>escrocheriilor</w:t>
      </w:r>
      <w:proofErr w:type="spellEnd"/>
      <w:r>
        <w:t xml:space="preserve"> </w:t>
      </w:r>
    </w:p>
    <w:p w14:paraId="5D0954F7" w14:textId="77777777" w:rsidR="00BA0B77" w:rsidRDefault="00000000">
      <w:pPr>
        <w:spacing w:after="233" w:line="259" w:lineRule="auto"/>
        <w:ind w:left="781" w:firstLine="0"/>
        <w:jc w:val="center"/>
      </w:pPr>
      <w:proofErr w:type="spellStart"/>
      <w:r>
        <w:t>telefonice</w:t>
      </w:r>
      <w:proofErr w:type="spellEnd"/>
      <w:r>
        <w:t xml:space="preserve">,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</w:p>
    <w:p w14:paraId="4A0D6876" w14:textId="77777777" w:rsidR="00BA0B77" w:rsidRDefault="00000000">
      <w:pPr>
        <w:spacing w:after="233" w:line="259" w:lineRule="auto"/>
        <w:ind w:left="850" w:firstLine="0"/>
        <w:jc w:val="left"/>
      </w:pPr>
      <w:r>
        <w:t xml:space="preserve"> </w:t>
      </w:r>
    </w:p>
    <w:p w14:paraId="7F6D63CF" w14:textId="77777777" w:rsidR="00BA0B77" w:rsidRDefault="00000000">
      <w:pPr>
        <w:spacing w:line="357" w:lineRule="auto"/>
        <w:ind w:left="835" w:right="67" w:firstLine="0"/>
      </w:pPr>
      <w:proofErr w:type="spellStart"/>
      <w:r>
        <w:t>Prezentele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 sunt formulate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investigative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rețelelor</w:t>
      </w:r>
      <w:proofErr w:type="spellEnd"/>
      <w:r>
        <w:t xml:space="preserve"> </w:t>
      </w:r>
      <w:proofErr w:type="spellStart"/>
      <w:r>
        <w:t>infracționale</w:t>
      </w:r>
      <w:proofErr w:type="spellEnd"/>
      <w:r>
        <w:t xml:space="preserve"> care </w:t>
      </w:r>
      <w:proofErr w:type="spellStart"/>
      <w:r>
        <w:t>operează</w:t>
      </w:r>
      <w:proofErr w:type="spellEnd"/>
      <w:r>
        <w:t xml:space="preserve"> </w:t>
      </w:r>
      <w:proofErr w:type="spellStart"/>
      <w:r>
        <w:t>platforme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tiparelor</w:t>
      </w:r>
      <w:proofErr w:type="spellEnd"/>
      <w:r>
        <w:t xml:space="preserve"> </w:t>
      </w:r>
      <w:proofErr w:type="spellStart"/>
      <w:r>
        <w:t>operaționale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destructurării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grupări</w:t>
      </w:r>
      <w:proofErr w:type="spellEnd"/>
      <w:r>
        <w:t xml:space="preserve">.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relevă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ale </w:t>
      </w:r>
      <w:proofErr w:type="spellStart"/>
      <w:r>
        <w:t>fenomenului</w:t>
      </w:r>
      <w:proofErr w:type="spellEnd"/>
      <w:r>
        <w:t xml:space="preserve"> care nu sunt </w:t>
      </w:r>
      <w:proofErr w:type="spellStart"/>
      <w:r>
        <w:t>suficient</w:t>
      </w:r>
      <w:proofErr w:type="spellEnd"/>
      <w:r>
        <w:t xml:space="preserve"> </w:t>
      </w:r>
      <w:proofErr w:type="spellStart"/>
      <w:r>
        <w:t>abordate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legislative </w:t>
      </w:r>
      <w:proofErr w:type="spellStart"/>
      <w:r>
        <w:t>specifice</w:t>
      </w:r>
      <w:proofErr w:type="spellEnd"/>
      <w:r>
        <w:t xml:space="preserve">. </w:t>
      </w:r>
    </w:p>
    <w:p w14:paraId="229B0073" w14:textId="77777777" w:rsidR="00BA0B77" w:rsidRDefault="00000000">
      <w:pPr>
        <w:spacing w:after="233" w:line="259" w:lineRule="auto"/>
        <w:ind w:left="850" w:firstLine="0"/>
        <w:jc w:val="left"/>
      </w:pPr>
      <w:r>
        <w:t xml:space="preserve"> </w:t>
      </w:r>
    </w:p>
    <w:p w14:paraId="2F6D062F" w14:textId="77777777" w:rsidR="00BA0B77" w:rsidRDefault="00000000">
      <w:pPr>
        <w:pStyle w:val="Heading2"/>
        <w:spacing w:after="115" w:line="358" w:lineRule="auto"/>
        <w:ind w:left="911"/>
      </w:pPr>
      <w:r>
        <w:t xml:space="preserve">1.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intermediere</w:t>
      </w:r>
      <w:proofErr w:type="spellEnd"/>
      <w:r>
        <w:t xml:space="preserve"> </w:t>
      </w:r>
      <w:proofErr w:type="spellStart"/>
      <w:r>
        <w:t>publicitară</w:t>
      </w:r>
      <w:proofErr w:type="spellEnd"/>
      <w:r>
        <w:t xml:space="preserve"> (affiliate marketing)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rPr>
          <w:b w:val="0"/>
        </w:rPr>
        <w:t xml:space="preserve"> </w:t>
      </w:r>
    </w:p>
    <w:p w14:paraId="0492FAB7" w14:textId="77777777" w:rsidR="00BA0B77" w:rsidRDefault="00000000">
      <w:pPr>
        <w:spacing w:line="357" w:lineRule="auto"/>
        <w:ind w:left="835" w:right="67" w:firstLine="0"/>
      </w:pPr>
      <w:r>
        <w:t xml:space="preserve">Analiza </w:t>
      </w:r>
      <w:proofErr w:type="spellStart"/>
      <w:r>
        <w:t>rețelelor</w:t>
      </w:r>
      <w:proofErr w:type="spellEnd"/>
      <w:r>
        <w:t xml:space="preserve"> </w:t>
      </w:r>
      <w:proofErr w:type="spellStart"/>
      <w:r>
        <w:t>destructurate</w:t>
      </w:r>
      <w:proofErr w:type="spellEnd"/>
      <w:r>
        <w:t xml:space="preserve"> </w:t>
      </w:r>
      <w:proofErr w:type="spellStart"/>
      <w:r>
        <w:t>demonstrează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platformele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sistematic</w:t>
      </w:r>
      <w:proofErr w:type="spellEnd"/>
      <w:r>
        <w:t xml:space="preserve"> </w:t>
      </w:r>
      <w:proofErr w:type="spellStart"/>
      <w:r>
        <w:t>rețele</w:t>
      </w:r>
      <w:proofErr w:type="spellEnd"/>
      <w:r>
        <w:t xml:space="preserve"> de </w:t>
      </w:r>
      <w:proofErr w:type="spellStart"/>
      <w:r>
        <w:t>intermediari</w:t>
      </w:r>
      <w:proofErr w:type="spellEnd"/>
      <w:r>
        <w:t xml:space="preserve"> </w:t>
      </w:r>
      <w:proofErr w:type="spellStart"/>
      <w:r>
        <w:t>publicitari</w:t>
      </w:r>
      <w:proofErr w:type="spellEnd"/>
      <w:r>
        <w:t xml:space="preserve"> (</w:t>
      </w:r>
      <w:proofErr w:type="spellStart"/>
      <w:r>
        <w:t>denumiți</w:t>
      </w:r>
      <w:proofErr w:type="spellEnd"/>
      <w:r>
        <w:t xml:space="preserve"> „</w:t>
      </w:r>
      <w:proofErr w:type="spellStart"/>
      <w:r>
        <w:t>afiliați</w:t>
      </w:r>
      <w:proofErr w:type="spellEnd"/>
      <w:r>
        <w:t xml:space="preserve">") care, contra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comision</w:t>
      </w:r>
      <w:proofErr w:type="spellEnd"/>
      <w:r>
        <w:t xml:space="preserve"> per client </w:t>
      </w:r>
      <w:proofErr w:type="spellStart"/>
      <w:r>
        <w:t>atras</w:t>
      </w:r>
      <w:proofErr w:type="spellEnd"/>
      <w:r>
        <w:t xml:space="preserve">, </w:t>
      </w:r>
      <w:proofErr w:type="spellStart"/>
      <w:r>
        <w:t>direcționează</w:t>
      </w:r>
      <w:proofErr w:type="spellEnd"/>
      <w:r>
        <w:t xml:space="preserve"> </w:t>
      </w:r>
      <w:proofErr w:type="spellStart"/>
      <w:r>
        <w:t>cetățenii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platformele</w:t>
      </w:r>
      <w:proofErr w:type="spellEnd"/>
      <w:r>
        <w:t xml:space="preserve"> respective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publicitate</w:t>
      </w:r>
      <w:proofErr w:type="spellEnd"/>
      <w:r>
        <w:t xml:space="preserve"> pe </w:t>
      </w:r>
      <w:proofErr w:type="spellStart"/>
      <w:r>
        <w:t>rețelele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motoarele</w:t>
      </w:r>
      <w:proofErr w:type="spellEnd"/>
      <w:r>
        <w:t xml:space="preserve"> de </w:t>
      </w:r>
      <w:proofErr w:type="spellStart"/>
      <w:r>
        <w:t>căutare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canale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. </w:t>
      </w:r>
      <w:proofErr w:type="spellStart"/>
      <w:r>
        <w:t>Acești</w:t>
      </w:r>
      <w:proofErr w:type="spellEnd"/>
      <w:r>
        <w:t xml:space="preserve"> </w:t>
      </w:r>
      <w:proofErr w:type="spellStart"/>
      <w:r>
        <w:t>intermediari</w:t>
      </w:r>
      <w:proofErr w:type="spellEnd"/>
      <w:r>
        <w:t xml:space="preserve"> </w:t>
      </w:r>
      <w:proofErr w:type="spellStart"/>
      <w:r>
        <w:t>operează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licențiere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deși</w:t>
      </w:r>
      <w:proofErr w:type="spellEnd"/>
      <w:r>
        <w:t xml:space="preserve"> </w:t>
      </w:r>
      <w:proofErr w:type="spellStart"/>
      <w:r>
        <w:t>contribuția</w:t>
      </w:r>
      <w:proofErr w:type="spellEnd"/>
      <w:r>
        <w:t xml:space="preserve"> lor la </w:t>
      </w:r>
      <w:proofErr w:type="spellStart"/>
      <w:r>
        <w:t>captarea</w:t>
      </w:r>
      <w:proofErr w:type="spellEnd"/>
      <w:r>
        <w:t xml:space="preserve"> </w:t>
      </w:r>
      <w:proofErr w:type="spellStart"/>
      <w:r>
        <w:t>victimelor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determinantă</w:t>
      </w:r>
      <w:proofErr w:type="spellEnd"/>
      <w:r>
        <w:t xml:space="preserve">. </w:t>
      </w:r>
    </w:p>
    <w:p w14:paraId="15A8F674" w14:textId="77777777" w:rsidR="00BA0B77" w:rsidRDefault="00000000">
      <w:pPr>
        <w:spacing w:after="238" w:line="259" w:lineRule="auto"/>
        <w:ind w:left="850" w:firstLine="0"/>
        <w:jc w:val="left"/>
      </w:pPr>
      <w:r>
        <w:t xml:space="preserve"> </w:t>
      </w:r>
    </w:p>
    <w:p w14:paraId="0E038DEB" w14:textId="77777777" w:rsidR="00BA0B77" w:rsidRDefault="00000000">
      <w:pPr>
        <w:spacing w:after="23" w:line="259" w:lineRule="auto"/>
        <w:ind w:left="850" w:firstLine="0"/>
        <w:jc w:val="left"/>
      </w:pPr>
      <w:r>
        <w:rPr>
          <w:sz w:val="18"/>
        </w:rPr>
        <w:lastRenderedPageBreak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15D2D7" wp14:editId="38464FA8">
                <wp:extent cx="5724525" cy="9525"/>
                <wp:effectExtent l="0" t="0" r="0" b="0"/>
                <wp:docPr id="12566" name="Group 1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9525"/>
                          <a:chOff x="0" y="0"/>
                          <a:chExt cx="5724525" cy="952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57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525">
                                <a:moveTo>
                                  <a:pt x="0" y="0"/>
                                </a:moveTo>
                                <a:lnTo>
                                  <a:pt x="57245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66" style="width:450.75pt;height:0.75pt;mso-position-horizontal-relative:char;mso-position-vertical-relative:line" coordsize="57245,95">
                <v:shape id="Shape 21" style="position:absolute;width:57245;height:0;left:0;top:0;" coordsize="5724525,0" path="m0,0l5724525,0">
                  <v:stroke weight="0.75pt" endcap="flat" joinstyle="miter" miterlimit="10" on="true" color="#7f7f7f"/>
                  <v:fill on="false" color="#000000" opacity="0"/>
                </v:shape>
              </v:group>
            </w:pict>
          </mc:Fallback>
        </mc:AlternateContent>
      </w:r>
    </w:p>
    <w:p w14:paraId="396838AD" w14:textId="77777777" w:rsidR="00BA0B77" w:rsidRDefault="00000000">
      <w:pPr>
        <w:tabs>
          <w:tab w:val="center" w:pos="2460"/>
          <w:tab w:val="center" w:pos="8817"/>
        </w:tabs>
        <w:spacing w:after="2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sz w:val="18"/>
        </w:rPr>
        <w:t>Republica</w:t>
      </w:r>
      <w:proofErr w:type="spellEnd"/>
      <w:r>
        <w:rPr>
          <w:sz w:val="18"/>
        </w:rPr>
        <w:t xml:space="preserve"> Moldova, MD-2004, </w:t>
      </w:r>
      <w:proofErr w:type="spellStart"/>
      <w:r>
        <w:rPr>
          <w:sz w:val="18"/>
        </w:rPr>
        <w:t>Chişinău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  <w:t xml:space="preserve">secretariat@parlament.md </w:t>
      </w:r>
    </w:p>
    <w:p w14:paraId="6E53298C" w14:textId="77777777" w:rsidR="00BA0B77" w:rsidRDefault="00000000">
      <w:pPr>
        <w:tabs>
          <w:tab w:val="center" w:pos="2104"/>
          <w:tab w:val="right" w:pos="1011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Bd. </w:t>
      </w:r>
      <w:proofErr w:type="spellStart"/>
      <w:r>
        <w:rPr>
          <w:sz w:val="18"/>
        </w:rPr>
        <w:t>Ştefan</w:t>
      </w:r>
      <w:proofErr w:type="spellEnd"/>
      <w:r>
        <w:rPr>
          <w:sz w:val="18"/>
        </w:rPr>
        <w:t xml:space="preserve"> cel Mare </w:t>
      </w:r>
      <w:proofErr w:type="spellStart"/>
      <w:r>
        <w:rPr>
          <w:sz w:val="18"/>
        </w:rPr>
        <w:t>şi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Sfânt</w:t>
      </w:r>
      <w:proofErr w:type="spellEnd"/>
      <w:r>
        <w:rPr>
          <w:sz w:val="18"/>
        </w:rPr>
        <w:t xml:space="preserve"> 105 </w:t>
      </w:r>
      <w:r>
        <w:rPr>
          <w:sz w:val="18"/>
        </w:rPr>
        <w:tab/>
        <w:t xml:space="preserve">www.parlament.md </w:t>
      </w:r>
    </w:p>
    <w:p w14:paraId="076DE4DC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1DF18F49" w14:textId="77777777" w:rsidR="00BA0B77" w:rsidRDefault="00000000">
      <w:pPr>
        <w:numPr>
          <w:ilvl w:val="0"/>
          <w:numId w:val="1"/>
        </w:numPr>
        <w:spacing w:after="28"/>
        <w:ind w:right="67" w:hanging="140"/>
      </w:pPr>
      <w:r>
        <w:t xml:space="preserve">a)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171/2012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de capital cu un capitol distinct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intermedierea</w:t>
      </w:r>
      <w:proofErr w:type="spellEnd"/>
      <w:r>
        <w:t xml:space="preserve"> </w:t>
      </w:r>
      <w:proofErr w:type="spellStart"/>
      <w:r>
        <w:t>publicitară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instituie</w:t>
      </w:r>
      <w:proofErr w:type="spellEnd"/>
      <w:r>
        <w:t xml:space="preserve"> </w:t>
      </w:r>
      <w:proofErr w:type="spellStart"/>
      <w:r>
        <w:t>obligativitatea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licențierii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de </w:t>
      </w:r>
      <w:proofErr w:type="spellStart"/>
      <w:r>
        <w:t>atragere</w:t>
      </w:r>
      <w:proofErr w:type="spellEnd"/>
      <w:r>
        <w:t xml:space="preserve"> a </w:t>
      </w:r>
      <w:proofErr w:type="spellStart"/>
      <w:r>
        <w:t>clienților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prestatorii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; </w:t>
      </w:r>
    </w:p>
    <w:p w14:paraId="5712A24F" w14:textId="77777777" w:rsidR="00BA0B77" w:rsidRDefault="00000000">
      <w:pPr>
        <w:numPr>
          <w:ilvl w:val="0"/>
          <w:numId w:val="1"/>
        </w:numPr>
        <w:spacing w:after="28"/>
        <w:ind w:right="67" w:hanging="140"/>
      </w:pPr>
      <w:r>
        <w:t xml:space="preserve">b)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răspunderii</w:t>
      </w:r>
      <w:proofErr w:type="spellEnd"/>
      <w:r>
        <w:t xml:space="preserve"> </w:t>
      </w:r>
      <w:proofErr w:type="spellStart"/>
      <w:r>
        <w:t>solidare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intermediarului</w:t>
      </w:r>
      <w:proofErr w:type="spellEnd"/>
      <w:r>
        <w:t xml:space="preserve"> </w:t>
      </w:r>
      <w:proofErr w:type="spellStart"/>
      <w:r>
        <w:t>publicitar</w:t>
      </w:r>
      <w:proofErr w:type="spellEnd"/>
      <w:r>
        <w:t xml:space="preserve"> cu </w:t>
      </w:r>
      <w:proofErr w:type="spellStart"/>
      <w:r>
        <w:t>prestatorul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prejudiciul</w:t>
      </w:r>
      <w:proofErr w:type="spellEnd"/>
      <w:r>
        <w:t xml:space="preserve"> </w:t>
      </w:r>
      <w:proofErr w:type="spellStart"/>
      <w:r>
        <w:t>cauzat</w:t>
      </w:r>
      <w:proofErr w:type="spellEnd"/>
      <w:r>
        <w:t xml:space="preserve"> </w:t>
      </w:r>
      <w:proofErr w:type="spellStart"/>
      <w:r>
        <w:t>clienților</w:t>
      </w:r>
      <w:proofErr w:type="spellEnd"/>
      <w:r>
        <w:t xml:space="preserve"> </w:t>
      </w:r>
      <w:proofErr w:type="spellStart"/>
      <w:r>
        <w:t>atrași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intermediarul</w:t>
      </w:r>
      <w:proofErr w:type="spellEnd"/>
      <w:r>
        <w:t xml:space="preserve"> nu a </w:t>
      </w:r>
      <w:proofErr w:type="spellStart"/>
      <w:r>
        <w:t>verificat</w:t>
      </w:r>
      <w:proofErr w:type="spellEnd"/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</w:t>
      </w:r>
      <w:proofErr w:type="spellStart"/>
      <w:r>
        <w:t>prestatorului</w:t>
      </w:r>
      <w:proofErr w:type="spellEnd"/>
      <w:r>
        <w:t xml:space="preserve">; </w:t>
      </w:r>
    </w:p>
    <w:p w14:paraId="00E992C9" w14:textId="77777777" w:rsidR="00BA0B77" w:rsidRDefault="00000000">
      <w:pPr>
        <w:numPr>
          <w:ilvl w:val="0"/>
          <w:numId w:val="1"/>
        </w:numPr>
        <w:spacing w:after="208"/>
        <w:ind w:right="67" w:hanging="140"/>
      </w:pPr>
      <w:r>
        <w:t xml:space="preserve">c) </w:t>
      </w:r>
      <w:proofErr w:type="spellStart"/>
      <w:r>
        <w:t>Obligarea</w:t>
      </w:r>
      <w:proofErr w:type="spellEnd"/>
      <w:r>
        <w:t xml:space="preserve"> </w:t>
      </w:r>
      <w:proofErr w:type="spellStart"/>
      <w:r>
        <w:t>platformelor</w:t>
      </w:r>
      <w:proofErr w:type="spellEnd"/>
      <w:r>
        <w:t xml:space="preserve"> de </w:t>
      </w:r>
      <w:proofErr w:type="spellStart"/>
      <w:r>
        <w:t>publicitate</w:t>
      </w:r>
      <w:proofErr w:type="spellEnd"/>
      <w:r>
        <w:t xml:space="preserve"> online (</w:t>
      </w:r>
      <w:proofErr w:type="spellStart"/>
      <w:r>
        <w:t>rețele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motoare</w:t>
      </w:r>
      <w:proofErr w:type="spellEnd"/>
      <w:r>
        <w:t xml:space="preserve"> de </w:t>
      </w:r>
      <w:proofErr w:type="spellStart"/>
      <w:r>
        <w:t>căutare</w:t>
      </w:r>
      <w:proofErr w:type="spellEnd"/>
      <w:r>
        <w:t xml:space="preserve">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CNPF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publicității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destinate </w:t>
      </w:r>
      <w:proofErr w:type="spellStart"/>
      <w:r>
        <w:t>cetățenilor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 Moldova. </w:t>
      </w:r>
    </w:p>
    <w:p w14:paraId="1BB0D395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69B1B533" w14:textId="77777777" w:rsidR="00BA0B77" w:rsidRDefault="00000000">
      <w:pPr>
        <w:pStyle w:val="Heading2"/>
        <w:ind w:left="911"/>
      </w:pPr>
      <w:r>
        <w:t xml:space="preserve">2.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operării</w:t>
      </w:r>
      <w:proofErr w:type="spellEnd"/>
      <w:r>
        <w:t xml:space="preserve"> </w:t>
      </w:r>
      <w:proofErr w:type="spellStart"/>
      <w:r>
        <w:t>simultane</w:t>
      </w:r>
      <w:proofErr w:type="spellEnd"/>
      <w:r>
        <w:t xml:space="preserve"> sub </w:t>
      </w:r>
      <w:proofErr w:type="spellStart"/>
      <w:r>
        <w:t>identități</w:t>
      </w:r>
      <w:proofErr w:type="spellEnd"/>
      <w:r>
        <w:t xml:space="preserve"> multiple (multi-brand)</w:t>
      </w:r>
      <w:r>
        <w:rPr>
          <w:b w:val="0"/>
        </w:rPr>
        <w:t xml:space="preserve"> </w:t>
      </w:r>
    </w:p>
    <w:p w14:paraId="61814219" w14:textId="77777777" w:rsidR="00BA0B77" w:rsidRDefault="00000000">
      <w:pPr>
        <w:spacing w:line="357" w:lineRule="auto"/>
        <w:ind w:left="835" w:right="67"/>
      </w:pPr>
      <w:proofErr w:type="spellStart"/>
      <w:r>
        <w:t>Investigațiile</w:t>
      </w:r>
      <w:proofErr w:type="spellEnd"/>
      <w:r>
        <w:t xml:space="preserve"> </w:t>
      </w:r>
      <w:proofErr w:type="spellStart"/>
      <w:r>
        <w:t>relevă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infrastructură</w:t>
      </w:r>
      <w:proofErr w:type="spellEnd"/>
      <w:r>
        <w:t xml:space="preserve"> </w:t>
      </w:r>
      <w:proofErr w:type="spellStart"/>
      <w:r>
        <w:t>informatică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operațională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deservi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</w:t>
      </w:r>
      <w:proofErr w:type="spellStart"/>
      <w:r>
        <w:t>zeci</w:t>
      </w:r>
      <w:proofErr w:type="spellEnd"/>
      <w:r>
        <w:t xml:space="preserve"> de „</w:t>
      </w:r>
      <w:proofErr w:type="spellStart"/>
      <w:r>
        <w:t>mărci</w:t>
      </w:r>
      <w:proofErr w:type="spellEnd"/>
      <w:r>
        <w:t xml:space="preserve">" </w:t>
      </w:r>
      <w:proofErr w:type="spellStart"/>
      <w:r>
        <w:t>diferite</w:t>
      </w:r>
      <w:proofErr w:type="spellEnd"/>
      <w:r>
        <w:t xml:space="preserve"> de </w:t>
      </w:r>
      <w:proofErr w:type="spellStart"/>
      <w:r>
        <w:t>platforme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,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prezentânduse</w:t>
      </w:r>
      <w:proofErr w:type="spellEnd"/>
      <w:r>
        <w:t xml:space="preserve"> ca o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distinctă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grupărilor</w:t>
      </w:r>
      <w:proofErr w:type="spellEnd"/>
      <w:r>
        <w:t xml:space="preserve"> </w:t>
      </w:r>
      <w:proofErr w:type="spellStart"/>
      <w:r>
        <w:t>infracționale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continue </w:t>
      </w:r>
      <w:proofErr w:type="spellStart"/>
      <w:r>
        <w:t>activitatea</w:t>
      </w:r>
      <w:proofErr w:type="spellEnd"/>
      <w:r>
        <w:t xml:space="preserve"> sub un alt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blocarea</w:t>
      </w:r>
      <w:proofErr w:type="spellEnd"/>
      <w:r>
        <w:t xml:space="preserve">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mărci</w:t>
      </w:r>
      <w:proofErr w:type="spellEnd"/>
      <w:r>
        <w:t xml:space="preserve">, </w:t>
      </w:r>
      <w:proofErr w:type="spellStart"/>
      <w:r>
        <w:t>făcând</w:t>
      </w:r>
      <w:proofErr w:type="spellEnd"/>
      <w:r>
        <w:t xml:space="preserve"> </w:t>
      </w:r>
      <w:proofErr w:type="spellStart"/>
      <w:r>
        <w:t>ineficiente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punctuale</w:t>
      </w:r>
      <w:proofErr w:type="spellEnd"/>
      <w:r>
        <w:t xml:space="preserve"> de </w:t>
      </w:r>
      <w:proofErr w:type="spellStart"/>
      <w:r>
        <w:t>blocare</w:t>
      </w:r>
      <w:proofErr w:type="spellEnd"/>
      <w:r>
        <w:t xml:space="preserve">. </w:t>
      </w:r>
    </w:p>
    <w:p w14:paraId="36D1B610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26425CC1" w14:textId="77777777" w:rsidR="00BA0B77" w:rsidRDefault="00000000">
      <w:pPr>
        <w:numPr>
          <w:ilvl w:val="0"/>
          <w:numId w:val="2"/>
        </w:numPr>
        <w:spacing w:after="23"/>
        <w:ind w:right="67"/>
      </w:pPr>
      <w:r>
        <w:t xml:space="preserve">a)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spălării</w:t>
      </w:r>
      <w:proofErr w:type="spellEnd"/>
      <w:r>
        <w:t xml:space="preserve"> </w:t>
      </w:r>
      <w:proofErr w:type="spellStart"/>
      <w:r>
        <w:t>banilor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 xml:space="preserve"> </w:t>
      </w:r>
      <w:proofErr w:type="spellStart"/>
      <w:r>
        <w:t>terorismului</w:t>
      </w:r>
      <w:proofErr w:type="spellEnd"/>
      <w:r>
        <w:t xml:space="preserve"> nr. 308/2017 cu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prestatorii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identifica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SPCSB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comercianți</w:t>
      </w:r>
      <w:proofErr w:type="spellEnd"/>
      <w:r>
        <w:t xml:space="preserve"> </w:t>
      </w:r>
      <w:proofErr w:type="spellStart"/>
      <w:r>
        <w:t>aparent</w:t>
      </w:r>
      <w:proofErr w:type="spellEnd"/>
      <w:r>
        <w:t xml:space="preserve"> </w:t>
      </w:r>
      <w:proofErr w:type="spellStart"/>
      <w:r>
        <w:t>distincți</w:t>
      </w:r>
      <w:proofErr w:type="spellEnd"/>
      <w:r>
        <w:t xml:space="preserve">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infrastructură</w:t>
      </w:r>
      <w:proofErr w:type="spellEnd"/>
      <w:r>
        <w:t xml:space="preserve"> de </w:t>
      </w:r>
      <w:proofErr w:type="spellStart"/>
      <w:r>
        <w:t>procesare</w:t>
      </w:r>
      <w:proofErr w:type="spellEnd"/>
      <w:r>
        <w:t xml:space="preserve">, </w:t>
      </w:r>
      <w:proofErr w:type="spellStart"/>
      <w:r>
        <w:t>aceleași</w:t>
      </w:r>
      <w:proofErr w:type="spellEnd"/>
      <w:r>
        <w:t xml:space="preserve"> </w:t>
      </w:r>
      <w:proofErr w:type="spellStart"/>
      <w:r>
        <w:t>conturi</w:t>
      </w:r>
      <w:proofErr w:type="spellEnd"/>
      <w:r>
        <w:t xml:space="preserve"> de </w:t>
      </w:r>
      <w:proofErr w:type="spellStart"/>
      <w:r>
        <w:t>decontare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aceiași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efectivi</w:t>
      </w:r>
      <w:proofErr w:type="spellEnd"/>
      <w:r>
        <w:t xml:space="preserve">; </w:t>
      </w:r>
    </w:p>
    <w:p w14:paraId="5AED22E4" w14:textId="77777777" w:rsidR="00BA0B77" w:rsidRDefault="00000000">
      <w:pPr>
        <w:numPr>
          <w:ilvl w:val="0"/>
          <w:numId w:val="2"/>
        </w:numPr>
        <w:spacing w:after="28"/>
        <w:ind w:right="67"/>
      </w:pPr>
      <w:r>
        <w:t xml:space="preserve">b)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competenței</w:t>
      </w:r>
      <w:proofErr w:type="spellEnd"/>
      <w:r>
        <w:t xml:space="preserve"> CNPF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blocarea</w:t>
      </w:r>
      <w:proofErr w:type="spellEnd"/>
      <w:r>
        <w:t xml:space="preserve"> </w:t>
      </w:r>
      <w:proofErr w:type="spellStart"/>
      <w:r>
        <w:t>simultană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afiliate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operațional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ca </w:t>
      </w:r>
      <w:proofErr w:type="spellStart"/>
      <w:r>
        <w:t>frauduloasă</w:t>
      </w:r>
      <w:proofErr w:type="spellEnd"/>
      <w:r>
        <w:t xml:space="preserve">, nu </w:t>
      </w:r>
      <w:proofErr w:type="spellStart"/>
      <w:r>
        <w:t>doar</w:t>
      </w:r>
      <w:proofErr w:type="spellEnd"/>
      <w:r>
        <w:t xml:space="preserve"> a </w:t>
      </w:r>
      <w:proofErr w:type="spellStart"/>
      <w:r>
        <w:t>celei</w:t>
      </w:r>
      <w:proofErr w:type="spellEnd"/>
      <w:r>
        <w:t xml:space="preserve">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; </w:t>
      </w:r>
    </w:p>
    <w:p w14:paraId="5660694E" w14:textId="77777777" w:rsidR="00BA0B77" w:rsidRDefault="00000000">
      <w:pPr>
        <w:numPr>
          <w:ilvl w:val="0"/>
          <w:numId w:val="2"/>
        </w:numPr>
        <w:spacing w:after="208"/>
        <w:ind w:right="67"/>
      </w:pPr>
      <w:r>
        <w:t xml:space="preserve">c)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penal, art. 190 (</w:t>
      </w:r>
      <w:proofErr w:type="spellStart"/>
      <w:r>
        <w:t>Escrocheria</w:t>
      </w:r>
      <w:proofErr w:type="spellEnd"/>
      <w:r>
        <w:t xml:space="preserve">),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adăugarea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circumstanțe</w:t>
      </w:r>
      <w:proofErr w:type="spellEnd"/>
      <w:r>
        <w:t xml:space="preserve"> </w:t>
      </w:r>
      <w:proofErr w:type="spellStart"/>
      <w:r>
        <w:t>agravante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simultană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identități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fictive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eludării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blocare</w:t>
      </w:r>
      <w:proofErr w:type="spellEnd"/>
      <w:r>
        <w:t xml:space="preserve">. </w:t>
      </w:r>
    </w:p>
    <w:p w14:paraId="4BB4C56E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7106DC9B" w14:textId="77777777" w:rsidR="00BA0B77" w:rsidRDefault="00000000">
      <w:pPr>
        <w:pStyle w:val="Heading2"/>
        <w:spacing w:after="115" w:line="358" w:lineRule="auto"/>
        <w:ind w:left="901" w:firstLine="66"/>
      </w:pPr>
      <w:r>
        <w:t xml:space="preserve">3.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mișcarea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ilicite</w:t>
      </w:r>
      <w:proofErr w:type="spellEnd"/>
      <w:r>
        <w:t xml:space="preserve"> („</w:t>
      </w:r>
      <w:proofErr w:type="spellStart"/>
      <w:r>
        <w:t>catâri</w:t>
      </w:r>
      <w:proofErr w:type="spellEnd"/>
      <w:r>
        <w:t xml:space="preserve"> </w:t>
      </w:r>
      <w:proofErr w:type="spellStart"/>
      <w:r>
        <w:t>financiari</w:t>
      </w:r>
      <w:proofErr w:type="spellEnd"/>
      <w:r>
        <w:t>")</w:t>
      </w:r>
      <w:r>
        <w:rPr>
          <w:b w:val="0"/>
        </w:rPr>
        <w:t xml:space="preserve"> </w:t>
      </w:r>
    </w:p>
    <w:p w14:paraId="2F4A29BC" w14:textId="77777777" w:rsidR="00BA0B77" w:rsidRDefault="00000000">
      <w:pPr>
        <w:spacing w:line="358" w:lineRule="auto"/>
        <w:ind w:left="835" w:right="67"/>
      </w:pPr>
      <w:proofErr w:type="spellStart"/>
      <w:r>
        <w:t>Datele</w:t>
      </w:r>
      <w:proofErr w:type="spellEnd"/>
      <w:r>
        <w:t xml:space="preserve"> din </w:t>
      </w:r>
      <w:proofErr w:type="spellStart"/>
      <w:r>
        <w:t>investigații</w:t>
      </w:r>
      <w:proofErr w:type="spellEnd"/>
      <w:r>
        <w:t xml:space="preserve">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organizat</w:t>
      </w:r>
      <w:proofErr w:type="spellEnd"/>
      <w:r>
        <w:t xml:space="preserve">, </w:t>
      </w:r>
      <w:proofErr w:type="spellStart"/>
      <w:r>
        <w:t>facilitează</w:t>
      </w:r>
      <w:proofErr w:type="spellEnd"/>
      <w:r>
        <w:t xml:space="preserve">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sustrase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conturilor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a </w:t>
      </w:r>
      <w:proofErr w:type="spellStart"/>
      <w:r>
        <w:t>cardurilor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portofelelor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—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lastRenderedPageBreak/>
        <w:t>terminologia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„money mules" — </w:t>
      </w:r>
      <w:proofErr w:type="spellStart"/>
      <w:r>
        <w:t>acționează</w:t>
      </w:r>
      <w:proofErr w:type="spellEnd"/>
      <w:r>
        <w:t xml:space="preserve"> fie din </w:t>
      </w:r>
      <w:proofErr w:type="spellStart"/>
      <w:r>
        <w:t>ignoranță</w:t>
      </w:r>
      <w:proofErr w:type="spellEnd"/>
      <w:r>
        <w:t xml:space="preserve">,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cauză</w:t>
      </w:r>
      <w:proofErr w:type="spellEnd"/>
      <w:r>
        <w:t xml:space="preserve">, </w:t>
      </w:r>
      <w:proofErr w:type="spellStart"/>
      <w:r>
        <w:t>constituind</w:t>
      </w:r>
      <w:proofErr w:type="spellEnd"/>
      <w:r>
        <w:t xml:space="preserve"> o </w:t>
      </w:r>
      <w:proofErr w:type="spellStart"/>
      <w:r>
        <w:t>verigă</w:t>
      </w:r>
      <w:proofErr w:type="spellEnd"/>
      <w:r>
        <w:t xml:space="preserve"> </w:t>
      </w:r>
      <w:proofErr w:type="spellStart"/>
      <w:r>
        <w:t>esențială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lanțul</w:t>
      </w:r>
      <w:proofErr w:type="spellEnd"/>
      <w:r>
        <w:t xml:space="preserve"> de </w:t>
      </w:r>
      <w:proofErr w:type="spellStart"/>
      <w:r>
        <w:t>spălare</w:t>
      </w:r>
      <w:proofErr w:type="spellEnd"/>
      <w:r>
        <w:t xml:space="preserve"> a </w:t>
      </w:r>
      <w:proofErr w:type="spellStart"/>
      <w:r>
        <w:t>banilor</w:t>
      </w:r>
      <w:proofErr w:type="spellEnd"/>
      <w:r>
        <w:t xml:space="preserve">. </w:t>
      </w:r>
    </w:p>
    <w:p w14:paraId="4B2FDBDA" w14:textId="77777777" w:rsidR="00BA0B77" w:rsidRDefault="00000000">
      <w:pPr>
        <w:spacing w:after="120" w:line="358" w:lineRule="auto"/>
        <w:ind w:left="845" w:right="64" w:hanging="10"/>
      </w:pPr>
      <w:proofErr w:type="spellStart"/>
      <w:r>
        <w:t>Volumul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gestionat</w:t>
      </w:r>
      <w:proofErr w:type="spellEnd"/>
      <w:r>
        <w:t xml:space="preserve"> de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atinge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de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milioanelor</w:t>
      </w:r>
      <w:proofErr w:type="spellEnd"/>
      <w:r>
        <w:t xml:space="preserve"> per </w:t>
      </w:r>
      <w:proofErr w:type="spellStart"/>
      <w:r>
        <w:t>individ</w:t>
      </w:r>
      <w:proofErr w:type="spellEnd"/>
      <w:r>
        <w:t xml:space="preserve">. </w:t>
      </w:r>
    </w:p>
    <w:p w14:paraId="061209C6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7D0DA0A8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0ED941EC" w14:textId="77777777" w:rsidR="00BA0B77" w:rsidRDefault="00000000">
      <w:pPr>
        <w:numPr>
          <w:ilvl w:val="0"/>
          <w:numId w:val="3"/>
        </w:numPr>
        <w:spacing w:after="23"/>
        <w:ind w:right="67" w:hanging="220"/>
      </w:pPr>
      <w:r>
        <w:t xml:space="preserve">a)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penal cu un </w:t>
      </w:r>
      <w:proofErr w:type="spellStart"/>
      <w:r>
        <w:t>articol</w:t>
      </w:r>
      <w:proofErr w:type="spellEnd"/>
      <w:r>
        <w:t xml:space="preserve"> distinct (</w:t>
      </w:r>
      <w:proofErr w:type="spellStart"/>
      <w:r>
        <w:t>propunere</w:t>
      </w:r>
      <w:proofErr w:type="spellEnd"/>
      <w:r>
        <w:t xml:space="preserve">: art. 243¹)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transferului</w:t>
      </w:r>
      <w:proofErr w:type="spellEnd"/>
      <w:r>
        <w:t xml:space="preserve"> de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provenite</w:t>
      </w:r>
      <w:proofErr w:type="spellEnd"/>
      <w:r>
        <w:t xml:space="preserve"> din </w:t>
      </w:r>
      <w:proofErr w:type="spellStart"/>
      <w:r>
        <w:t>infracțiuni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incrimineze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a </w:t>
      </w:r>
      <w:proofErr w:type="spellStart"/>
      <w:r>
        <w:t>conturilor</w:t>
      </w:r>
      <w:proofErr w:type="spellEnd"/>
      <w:r>
        <w:t xml:space="preserve">, </w:t>
      </w:r>
      <w:proofErr w:type="spellStart"/>
      <w:r>
        <w:t>cardurilor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portofelelor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tranzitării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cunoaște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cunoască</w:t>
      </w:r>
      <w:proofErr w:type="spellEnd"/>
      <w:r>
        <w:t xml:space="preserve"> </w:t>
      </w:r>
      <w:proofErr w:type="spellStart"/>
      <w:r>
        <w:t>originea</w:t>
      </w:r>
      <w:proofErr w:type="spellEnd"/>
      <w:r>
        <w:t xml:space="preserve"> </w:t>
      </w:r>
      <w:proofErr w:type="spellStart"/>
      <w:r>
        <w:t>ilicită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3FC2BBFF" w14:textId="77777777" w:rsidR="00BA0B77" w:rsidRDefault="00000000">
      <w:pPr>
        <w:numPr>
          <w:ilvl w:val="0"/>
          <w:numId w:val="3"/>
        </w:numPr>
        <w:spacing w:after="23"/>
        <w:ind w:right="67" w:hanging="220"/>
      </w:pPr>
      <w:r>
        <w:t xml:space="preserve">b)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prezumției</w:t>
      </w:r>
      <w:proofErr w:type="spellEnd"/>
      <w:r>
        <w:t xml:space="preserve"> de </w:t>
      </w:r>
      <w:proofErr w:type="spellStart"/>
      <w:r>
        <w:t>cunoaștere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originii</w:t>
      </w:r>
      <w:proofErr w:type="spellEnd"/>
      <w:r>
        <w:t xml:space="preserve"> </w:t>
      </w:r>
      <w:proofErr w:type="spellStart"/>
      <w:r>
        <w:t>ilicite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tranzacțiilor</w:t>
      </w:r>
      <w:proofErr w:type="spellEnd"/>
      <w:r>
        <w:t xml:space="preserve"> </w:t>
      </w:r>
      <w:proofErr w:type="spellStart"/>
      <w:r>
        <w:t>tranzitate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depășește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tranzacțiile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tipare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(</w:t>
      </w:r>
      <w:proofErr w:type="spellStart"/>
      <w:r>
        <w:t>transferuri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</w:t>
      </w:r>
      <w:proofErr w:type="spellStart"/>
      <w:r>
        <w:t>succesive</w:t>
      </w:r>
      <w:proofErr w:type="spellEnd"/>
      <w:r>
        <w:t xml:space="preserve">, multiple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destinație</w:t>
      </w:r>
      <w:proofErr w:type="spellEnd"/>
      <w:r>
        <w:t xml:space="preserve">); </w:t>
      </w:r>
    </w:p>
    <w:p w14:paraId="2CB3077F" w14:textId="77777777" w:rsidR="00BA0B77" w:rsidRDefault="00000000">
      <w:pPr>
        <w:numPr>
          <w:ilvl w:val="0"/>
          <w:numId w:val="3"/>
        </w:numPr>
        <w:spacing w:after="208"/>
        <w:ind w:right="67" w:hanging="220"/>
      </w:pPr>
      <w:r>
        <w:t xml:space="preserve">c)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308/2017 cu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sporite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raporta</w:t>
      </w:r>
      <w:proofErr w:type="spellEnd"/>
      <w:r>
        <w:t xml:space="preserve"> automat </w:t>
      </w:r>
      <w:proofErr w:type="spellStart"/>
      <w:r>
        <w:t>către</w:t>
      </w:r>
      <w:proofErr w:type="spellEnd"/>
      <w:r>
        <w:t xml:space="preserve"> SPCSB </w:t>
      </w:r>
      <w:proofErr w:type="spellStart"/>
      <w:r>
        <w:t>conturile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tranzitează</w:t>
      </w:r>
      <w:proofErr w:type="spellEnd"/>
      <w:r>
        <w:t xml:space="preserve"> lunar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depășesc</w:t>
      </w:r>
      <w:proofErr w:type="spellEnd"/>
      <w:r>
        <w:t xml:space="preserve"> </w:t>
      </w:r>
      <w:proofErr w:type="spellStart"/>
      <w:r>
        <w:t>echivalentul</w:t>
      </w:r>
      <w:proofErr w:type="spellEnd"/>
      <w:r>
        <w:t xml:space="preserve"> a 50.000 MDL din </w:t>
      </w:r>
      <w:proofErr w:type="spellStart"/>
      <w:r>
        <w:t>surse</w:t>
      </w:r>
      <w:proofErr w:type="spellEnd"/>
      <w:r>
        <w:t xml:space="preserve"> multiple </w:t>
      </w:r>
      <w:proofErr w:type="spellStart"/>
      <w:r>
        <w:t>neidentificate</w:t>
      </w:r>
      <w:proofErr w:type="spellEnd"/>
      <w:r>
        <w:t xml:space="preserve">. </w:t>
      </w:r>
    </w:p>
    <w:p w14:paraId="6B334F27" w14:textId="77777777" w:rsidR="00BA0B77" w:rsidRDefault="00000000">
      <w:pPr>
        <w:spacing w:after="228" w:line="259" w:lineRule="auto"/>
        <w:ind w:left="916" w:firstLine="0"/>
        <w:jc w:val="left"/>
      </w:pPr>
      <w:r>
        <w:t xml:space="preserve"> </w:t>
      </w:r>
    </w:p>
    <w:p w14:paraId="2A7077F7" w14:textId="77777777" w:rsidR="00BA0B77" w:rsidRDefault="00000000">
      <w:pPr>
        <w:pStyle w:val="Heading2"/>
        <w:ind w:left="911"/>
      </w:pPr>
      <w:r>
        <w:t xml:space="preserve">4.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furnizorii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active </w:t>
      </w:r>
      <w:proofErr w:type="spellStart"/>
      <w:r>
        <w:t>virtuale</w:t>
      </w:r>
      <w:proofErr w:type="spellEnd"/>
      <w:r>
        <w:t xml:space="preserve"> (VASP)</w:t>
      </w:r>
      <w:r>
        <w:rPr>
          <w:b w:val="0"/>
        </w:rPr>
        <w:t xml:space="preserve"> </w:t>
      </w:r>
    </w:p>
    <w:p w14:paraId="37B70EAE" w14:textId="77777777" w:rsidR="00BA0B77" w:rsidRDefault="00000000">
      <w:pPr>
        <w:spacing w:line="357" w:lineRule="auto"/>
        <w:ind w:left="835" w:right="67"/>
      </w:pPr>
      <w:proofErr w:type="spellStart"/>
      <w:r>
        <w:t>Materialele</w:t>
      </w:r>
      <w:proofErr w:type="spellEnd"/>
      <w:r>
        <w:t xml:space="preserve"> examinate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intensivă</w:t>
      </w:r>
      <w:proofErr w:type="spellEnd"/>
      <w:r>
        <w:t xml:space="preserve"> a </w:t>
      </w:r>
      <w:proofErr w:type="spellStart"/>
      <w:r>
        <w:t>criptomonedelor</w:t>
      </w:r>
      <w:proofErr w:type="spellEnd"/>
      <w:r>
        <w:t xml:space="preserve"> — </w:t>
      </w:r>
      <w:proofErr w:type="spellStart"/>
      <w:r>
        <w:t>în</w:t>
      </w:r>
      <w:proofErr w:type="spellEnd"/>
      <w:r>
        <w:t xml:space="preserve"> special a stablecoin-</w:t>
      </w:r>
      <w:proofErr w:type="spellStart"/>
      <w:r>
        <w:t>urilor</w:t>
      </w:r>
      <w:proofErr w:type="spellEnd"/>
      <w:r>
        <w:t xml:space="preserve"> de tip USDT pe </w:t>
      </w:r>
      <w:proofErr w:type="spellStart"/>
      <w:r>
        <w:t>rețeaua</w:t>
      </w:r>
      <w:proofErr w:type="spellEnd"/>
      <w:r>
        <w:t xml:space="preserve"> Tron (TRC-20) — ca instrument principal de </w:t>
      </w:r>
      <w:proofErr w:type="spellStart"/>
      <w:r>
        <w:t>colectare</w:t>
      </w:r>
      <w:proofErr w:type="spellEnd"/>
      <w:r>
        <w:t xml:space="preserve"> a </w:t>
      </w:r>
      <w:proofErr w:type="spellStart"/>
      <w:r>
        <w:t>fondurilor</w:t>
      </w:r>
      <w:proofErr w:type="spellEnd"/>
      <w:r>
        <w:t xml:space="preserve"> de la </w:t>
      </w:r>
      <w:proofErr w:type="spellStart"/>
      <w:r>
        <w:t>victime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disimulare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a </w:t>
      </w:r>
      <w:proofErr w:type="spellStart"/>
      <w:r>
        <w:t>traseului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. </w:t>
      </w:r>
      <w:proofErr w:type="spellStart"/>
      <w:r>
        <w:t>Platformele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victimelor</w:t>
      </w:r>
      <w:proofErr w:type="spellEnd"/>
      <w:r>
        <w:t xml:space="preserve"> </w:t>
      </w:r>
      <w:proofErr w:type="spellStart"/>
      <w:r>
        <w:t>instrucțiuni</w:t>
      </w:r>
      <w:proofErr w:type="spellEnd"/>
      <w:r>
        <w:t xml:space="preserve"> </w:t>
      </w:r>
      <w:proofErr w:type="spellStart"/>
      <w:r>
        <w:t>detaliate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achiziționarea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transferul</w:t>
      </w:r>
      <w:proofErr w:type="spellEnd"/>
      <w:r>
        <w:t xml:space="preserve"> de </w:t>
      </w:r>
      <w:proofErr w:type="spellStart"/>
      <w:r>
        <w:t>criptomonede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demonstrează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profundă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activelor</w:t>
      </w:r>
      <w:proofErr w:type="spellEnd"/>
      <w:r>
        <w:t xml:space="preserve"> </w:t>
      </w:r>
      <w:proofErr w:type="spellStart"/>
      <w:r>
        <w:t>virtuale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schema </w:t>
      </w:r>
      <w:proofErr w:type="spellStart"/>
      <w:r>
        <w:t>infracțională</w:t>
      </w:r>
      <w:proofErr w:type="spellEnd"/>
      <w:r>
        <w:t xml:space="preserve">. </w:t>
      </w:r>
    </w:p>
    <w:p w14:paraId="04BAFBC9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145A07F1" w14:textId="77777777" w:rsidR="00BA0B77" w:rsidRDefault="00000000">
      <w:pPr>
        <w:numPr>
          <w:ilvl w:val="0"/>
          <w:numId w:val="4"/>
        </w:numPr>
        <w:spacing w:after="29"/>
        <w:ind w:right="67"/>
      </w:pPr>
      <w:r>
        <w:t xml:space="preserve">a)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urgentă</w:t>
      </w:r>
      <w:proofErr w:type="spellEnd"/>
      <w:r>
        <w:t xml:space="preserve"> a </w:t>
      </w:r>
      <w:proofErr w:type="spellStart"/>
      <w:r>
        <w:t>cadrului</w:t>
      </w:r>
      <w:proofErr w:type="spellEnd"/>
      <w:r>
        <w:t xml:space="preserve"> </w:t>
      </w:r>
      <w:proofErr w:type="spellStart"/>
      <w:r>
        <w:t>legislativ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furnizorilor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active </w:t>
      </w:r>
      <w:proofErr w:type="spellStart"/>
      <w:r>
        <w:t>virtuale</w:t>
      </w:r>
      <w:proofErr w:type="spellEnd"/>
      <w:r>
        <w:t xml:space="preserve"> (VASP)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Recomandările</w:t>
      </w:r>
      <w:proofErr w:type="spellEnd"/>
      <w:r>
        <w:t xml:space="preserve"> FATF (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Recomandarea</w:t>
      </w:r>
      <w:proofErr w:type="spellEnd"/>
      <w:r>
        <w:t xml:space="preserve"> 15 </w:t>
      </w:r>
      <w:proofErr w:type="spellStart"/>
      <w:r>
        <w:t>și</w:t>
      </w:r>
      <w:proofErr w:type="spellEnd"/>
      <w:r>
        <w:t xml:space="preserve"> Nota </w:t>
      </w:r>
      <w:proofErr w:type="spellStart"/>
      <w:r>
        <w:t>Interpretativă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), cu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(BNM </w:t>
      </w:r>
      <w:proofErr w:type="spellStart"/>
      <w:r>
        <w:t>sau</w:t>
      </w:r>
      <w:proofErr w:type="spellEnd"/>
      <w:r>
        <w:t xml:space="preserve"> CNPF); </w:t>
      </w:r>
    </w:p>
    <w:p w14:paraId="5CEF6BAF" w14:textId="77777777" w:rsidR="00BA0B77" w:rsidRDefault="00000000">
      <w:pPr>
        <w:numPr>
          <w:ilvl w:val="0"/>
          <w:numId w:val="4"/>
        </w:numPr>
        <w:spacing w:after="28"/>
        <w:ind w:right="67"/>
      </w:pPr>
      <w:r>
        <w:t xml:space="preserve">b)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obligației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VASP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regula</w:t>
      </w:r>
      <w:proofErr w:type="spellEnd"/>
      <w:r>
        <w:t xml:space="preserve"> </w:t>
      </w:r>
      <w:proofErr w:type="spellStart"/>
      <w:r>
        <w:t>transferurilor</w:t>
      </w:r>
      <w:proofErr w:type="spellEnd"/>
      <w:r>
        <w:t xml:space="preserve"> (travel rule)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raporta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SPCSB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tranzacțiile</w:t>
      </w:r>
      <w:proofErr w:type="spellEnd"/>
      <w:r>
        <w:t xml:space="preserve"> cu active </w:t>
      </w:r>
      <w:proofErr w:type="spellStart"/>
      <w:r>
        <w:t>virtuale</w:t>
      </w:r>
      <w:proofErr w:type="spellEnd"/>
      <w:r>
        <w:t xml:space="preserve"> care </w:t>
      </w:r>
      <w:proofErr w:type="spellStart"/>
      <w:r>
        <w:t>depășesc</w:t>
      </w:r>
      <w:proofErr w:type="spellEnd"/>
      <w:r>
        <w:t xml:space="preserve"> </w:t>
      </w:r>
      <w:proofErr w:type="spellStart"/>
      <w:r>
        <w:t>echivalentul</w:t>
      </w:r>
      <w:proofErr w:type="spellEnd"/>
      <w:r>
        <w:t xml:space="preserve"> a 1.000 EUR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(</w:t>
      </w:r>
      <w:proofErr w:type="spellStart"/>
      <w:r>
        <w:t>destinații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jurisdicții</w:t>
      </w:r>
      <w:proofErr w:type="spellEnd"/>
      <w:r>
        <w:t xml:space="preserve"> </w:t>
      </w:r>
      <w:proofErr w:type="spellStart"/>
      <w:r>
        <w:t>necooperante</w:t>
      </w:r>
      <w:proofErr w:type="spellEnd"/>
      <w:r>
        <w:t xml:space="preserve">, </w:t>
      </w:r>
      <w:proofErr w:type="spellStart"/>
      <w:r>
        <w:t>conversii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, </w:t>
      </w:r>
      <w:proofErr w:type="spellStart"/>
      <w:r>
        <w:t>fragmentare</w:t>
      </w:r>
      <w:proofErr w:type="spellEnd"/>
      <w:r>
        <w:t xml:space="preserve"> </w:t>
      </w:r>
      <w:proofErr w:type="spellStart"/>
      <w:r>
        <w:t>deliberată</w:t>
      </w:r>
      <w:proofErr w:type="spellEnd"/>
      <w:r>
        <w:t xml:space="preserve">); </w:t>
      </w:r>
    </w:p>
    <w:p w14:paraId="68030F2F" w14:textId="77777777" w:rsidR="00BA0B77" w:rsidRDefault="00000000">
      <w:pPr>
        <w:numPr>
          <w:ilvl w:val="0"/>
          <w:numId w:val="4"/>
        </w:numPr>
        <w:ind w:right="67"/>
      </w:pPr>
      <w:r>
        <w:t xml:space="preserve">c)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de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penală</w:t>
      </w:r>
      <w:proofErr w:type="spellEnd"/>
      <w:r>
        <w:t xml:space="preserve"> cu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sechestrarea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confiscarea</w:t>
      </w:r>
      <w:proofErr w:type="spellEnd"/>
      <w:r>
        <w:t xml:space="preserve"> </w:t>
      </w:r>
      <w:proofErr w:type="spellStart"/>
      <w:r>
        <w:t>activelor</w:t>
      </w:r>
      <w:proofErr w:type="spellEnd"/>
      <w:r>
        <w:t xml:space="preserve"> </w:t>
      </w:r>
      <w:proofErr w:type="spellStart"/>
      <w:r>
        <w:t>virtuale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obținere</w:t>
      </w:r>
      <w:proofErr w:type="spellEnd"/>
      <w:r>
        <w:t xml:space="preserve"> a </w:t>
      </w:r>
      <w:proofErr w:type="spellStart"/>
      <w:r>
        <w:t>cheilor</w:t>
      </w:r>
      <w:proofErr w:type="spellEnd"/>
      <w:r>
        <w:t xml:space="preserve"> </w:t>
      </w:r>
      <w:r>
        <w:lastRenderedPageBreak/>
        <w:t xml:space="preserve">private, </w:t>
      </w:r>
      <w:proofErr w:type="spellStart"/>
      <w:r>
        <w:t>cooperarea</w:t>
      </w:r>
      <w:proofErr w:type="spellEnd"/>
      <w:r>
        <w:t xml:space="preserve"> cu </w:t>
      </w:r>
      <w:proofErr w:type="spellStart"/>
      <w:r>
        <w:t>bursele</w:t>
      </w:r>
      <w:proofErr w:type="spellEnd"/>
      <w:r>
        <w:t xml:space="preserve"> de </w:t>
      </w:r>
      <w:proofErr w:type="spellStart"/>
      <w:r>
        <w:t>criptomonede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mecanismul</w:t>
      </w:r>
      <w:proofErr w:type="spellEnd"/>
      <w:r>
        <w:t xml:space="preserve"> de </w:t>
      </w:r>
      <w:proofErr w:type="spellStart"/>
      <w:r>
        <w:t>conservare</w:t>
      </w:r>
      <w:proofErr w:type="spellEnd"/>
      <w:r>
        <w:t xml:space="preserve"> a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pe blockchain; </w:t>
      </w:r>
    </w:p>
    <w:p w14:paraId="586A6C84" w14:textId="77777777" w:rsidR="00BA0B77" w:rsidRDefault="00000000">
      <w:pPr>
        <w:numPr>
          <w:ilvl w:val="0"/>
          <w:numId w:val="4"/>
        </w:numPr>
        <w:spacing w:after="208"/>
        <w:ind w:right="67"/>
      </w:pPr>
      <w:r>
        <w:t xml:space="preserve">d) </w:t>
      </w:r>
      <w:proofErr w:type="spellStart"/>
      <w:r>
        <w:t>Încheierea</w:t>
      </w:r>
      <w:proofErr w:type="spellEnd"/>
      <w:r>
        <w:t xml:space="preserve"> de </w:t>
      </w:r>
      <w:proofErr w:type="spellStart"/>
      <w:r>
        <w:t>acorduri</w:t>
      </w:r>
      <w:proofErr w:type="spellEnd"/>
      <w:r>
        <w:t xml:space="preserve"> de </w:t>
      </w:r>
      <w:proofErr w:type="spellStart"/>
      <w:r>
        <w:t>cooperare</w:t>
      </w:r>
      <w:proofErr w:type="spellEnd"/>
      <w:r>
        <w:t xml:space="preserve"> cu </w:t>
      </w:r>
      <w:proofErr w:type="spellStart"/>
      <w:r>
        <w:t>principalele</w:t>
      </w:r>
      <w:proofErr w:type="spellEnd"/>
      <w:r>
        <w:t xml:space="preserve"> burse de </w:t>
      </w:r>
      <w:proofErr w:type="spellStart"/>
      <w:r>
        <w:t>criptomonede</w:t>
      </w:r>
      <w:proofErr w:type="spellEnd"/>
      <w:r>
        <w:t xml:space="preserve"> (Binance, OKX, </w:t>
      </w:r>
      <w:proofErr w:type="spellStart"/>
      <w:r>
        <w:t>Bybit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răspunsului</w:t>
      </w:r>
      <w:proofErr w:type="spellEnd"/>
      <w:r>
        <w:t xml:space="preserve"> rapid la </w:t>
      </w:r>
      <w:proofErr w:type="spellStart"/>
      <w:r>
        <w:t>solicitările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</w:t>
      </w:r>
      <w:proofErr w:type="spellStart"/>
      <w:r>
        <w:t>moldovenești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înghețarea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. </w:t>
      </w:r>
    </w:p>
    <w:p w14:paraId="05D1FA1E" w14:textId="77777777" w:rsidR="00BA0B77" w:rsidRDefault="00000000">
      <w:pPr>
        <w:spacing w:after="228" w:line="259" w:lineRule="auto"/>
        <w:ind w:left="916" w:firstLine="0"/>
        <w:jc w:val="left"/>
      </w:pPr>
      <w:r>
        <w:t xml:space="preserve"> </w:t>
      </w:r>
    </w:p>
    <w:p w14:paraId="63751588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1DC7EAEF" w14:textId="77777777" w:rsidR="00BA0B77" w:rsidRDefault="00000000">
      <w:pPr>
        <w:pStyle w:val="Heading2"/>
        <w:ind w:left="911"/>
      </w:pPr>
      <w:r>
        <w:t xml:space="preserve">5. </w:t>
      </w:r>
      <w:proofErr w:type="spellStart"/>
      <w:r>
        <w:t>Mecanism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 </w:t>
      </w:r>
      <w:proofErr w:type="spellStart"/>
      <w:r>
        <w:t>victimelor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re-</w:t>
      </w:r>
      <w:proofErr w:type="spellStart"/>
      <w:r>
        <w:t>victimizării</w:t>
      </w:r>
      <w:proofErr w:type="spellEnd"/>
      <w:r>
        <w:rPr>
          <w:b w:val="0"/>
        </w:rPr>
        <w:t xml:space="preserve"> </w:t>
      </w:r>
    </w:p>
    <w:p w14:paraId="198C9537" w14:textId="77777777" w:rsidR="00BA0B77" w:rsidRDefault="00000000">
      <w:pPr>
        <w:spacing w:line="357" w:lineRule="auto"/>
        <w:ind w:left="835" w:right="67"/>
      </w:pPr>
      <w:proofErr w:type="spellStart"/>
      <w:r>
        <w:t>Practica</w:t>
      </w:r>
      <w:proofErr w:type="spellEnd"/>
      <w:r>
        <w:t xml:space="preserve"> </w:t>
      </w:r>
      <w:proofErr w:type="spellStart"/>
      <w:r>
        <w:t>investigativă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</w:t>
      </w:r>
      <w:proofErr w:type="spellStart"/>
      <w:r>
        <w:t>demonstrează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victime</w:t>
      </w:r>
      <w:proofErr w:type="spellEnd"/>
      <w:r>
        <w:t xml:space="preserve"> ale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 sunt </w:t>
      </w:r>
      <w:proofErr w:type="spellStart"/>
      <w:r>
        <w:t>comercializate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grupări</w:t>
      </w:r>
      <w:proofErr w:type="spellEnd"/>
      <w:r>
        <w:t xml:space="preserve"> </w:t>
      </w:r>
      <w:proofErr w:type="spellStart"/>
      <w:r>
        <w:t>infracționale</w:t>
      </w:r>
      <w:proofErr w:type="spellEnd"/>
      <w:r>
        <w:t xml:space="preserve">, care </w:t>
      </w:r>
      <w:proofErr w:type="spellStart"/>
      <w:r>
        <w:t>contactează</w:t>
      </w:r>
      <w:proofErr w:type="spellEnd"/>
      <w:r>
        <w:t xml:space="preserve"> ulterior </w:t>
      </w:r>
      <w:proofErr w:type="spellStart"/>
      <w:r>
        <w:t>aceleași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oferindu</w:t>
      </w:r>
      <w:proofErr w:type="spellEnd"/>
      <w:r>
        <w:t>-le „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recuperare</w:t>
      </w:r>
      <w:proofErr w:type="spellEnd"/>
      <w:r>
        <w:t xml:space="preserve">" a </w:t>
      </w:r>
      <w:proofErr w:type="spellStart"/>
      <w:r>
        <w:t>banilor</w:t>
      </w:r>
      <w:proofErr w:type="spellEnd"/>
      <w:r>
        <w:t xml:space="preserve"> </w:t>
      </w:r>
      <w:proofErr w:type="spellStart"/>
      <w:r>
        <w:t>pierduți</w:t>
      </w:r>
      <w:proofErr w:type="spellEnd"/>
      <w:r>
        <w:t xml:space="preserve"> (</w:t>
      </w:r>
      <w:proofErr w:type="spellStart"/>
      <w:r>
        <w:t>așanumitele</w:t>
      </w:r>
      <w:proofErr w:type="spellEnd"/>
      <w:r>
        <w:t xml:space="preserve"> „recovery scams"). </w:t>
      </w:r>
      <w:proofErr w:type="spellStart"/>
      <w:r>
        <w:t>Victima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supusă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ciclu</w:t>
      </w:r>
      <w:proofErr w:type="spellEnd"/>
      <w:r>
        <w:t xml:space="preserve"> de </w:t>
      </w:r>
      <w:proofErr w:type="spellStart"/>
      <w:r>
        <w:t>fraudare</w:t>
      </w:r>
      <w:proofErr w:type="spellEnd"/>
      <w:r>
        <w:t xml:space="preserve">, </w:t>
      </w:r>
      <w:proofErr w:type="spellStart"/>
      <w:r>
        <w:t>adesea</w:t>
      </w:r>
      <w:proofErr w:type="spellEnd"/>
      <w:r>
        <w:t xml:space="preserve"> cu </w:t>
      </w:r>
      <w:proofErr w:type="spellStart"/>
      <w:r>
        <w:t>prejudicii</w:t>
      </w:r>
      <w:proofErr w:type="spellEnd"/>
      <w:r>
        <w:t xml:space="preserve"> </w:t>
      </w:r>
      <w:proofErr w:type="spellStart"/>
      <w:r>
        <w:t>comparabile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înșelăciuni</w:t>
      </w:r>
      <w:proofErr w:type="spellEnd"/>
      <w:r>
        <w:t xml:space="preserve">. </w:t>
      </w:r>
    </w:p>
    <w:p w14:paraId="41450FE9" w14:textId="77777777" w:rsidR="00BA0B77" w:rsidRDefault="00000000">
      <w:pPr>
        <w:spacing w:after="251" w:line="259" w:lineRule="auto"/>
        <w:ind w:left="12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11802893" w14:textId="77777777" w:rsidR="00BA0B77" w:rsidRDefault="00000000">
      <w:pPr>
        <w:numPr>
          <w:ilvl w:val="0"/>
          <w:numId w:val="5"/>
        </w:numPr>
        <w:spacing w:after="23"/>
        <w:ind w:right="67"/>
      </w:pPr>
      <w:r>
        <w:t xml:space="preserve">a) </w:t>
      </w:r>
      <w:proofErr w:type="spellStart"/>
      <w:r>
        <w:t>Instituirea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mecanism</w:t>
      </w:r>
      <w:proofErr w:type="spellEnd"/>
      <w:r>
        <w:t xml:space="preserve"> de </w:t>
      </w:r>
      <w:proofErr w:type="spellStart"/>
      <w:r>
        <w:t>alertare</w:t>
      </w:r>
      <w:proofErr w:type="spellEnd"/>
      <w:r>
        <w:t xml:space="preserve"> </w:t>
      </w:r>
      <w:proofErr w:type="spellStart"/>
      <w:r>
        <w:t>proactivă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telecom, la </w:t>
      </w:r>
      <w:proofErr w:type="spellStart"/>
      <w:r>
        <w:t>sesizarea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victimele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riscul</w:t>
      </w:r>
      <w:proofErr w:type="spellEnd"/>
      <w:r>
        <w:t xml:space="preserve"> de re-</w:t>
      </w:r>
      <w:proofErr w:type="spellStart"/>
      <w:r>
        <w:t>contactare</w:t>
      </w:r>
      <w:proofErr w:type="spellEnd"/>
      <w:r>
        <w:t xml:space="preserve"> </w:t>
      </w:r>
      <w:proofErr w:type="spellStart"/>
      <w:r>
        <w:t>frauduloasă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canalele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 de </w:t>
      </w:r>
      <w:proofErr w:type="spellStart"/>
      <w:r>
        <w:t>raportare</w:t>
      </w:r>
      <w:proofErr w:type="spellEnd"/>
      <w:r>
        <w:t xml:space="preserve">; </w:t>
      </w:r>
    </w:p>
    <w:p w14:paraId="7CA15B74" w14:textId="77777777" w:rsidR="00BA0B77" w:rsidRDefault="00000000">
      <w:pPr>
        <w:numPr>
          <w:ilvl w:val="0"/>
          <w:numId w:val="5"/>
        </w:numPr>
        <w:spacing w:after="23"/>
        <w:ind w:right="67"/>
      </w:pPr>
      <w:r>
        <w:t xml:space="preserve">b) </w:t>
      </w:r>
      <w:proofErr w:type="spellStart"/>
      <w:r>
        <w:t>Incriminarea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comercializării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transmiterii</w:t>
      </w:r>
      <w:proofErr w:type="spellEnd"/>
      <w:r>
        <w:t xml:space="preserve"> </w:t>
      </w:r>
      <w:proofErr w:type="spellStart"/>
      <w:r>
        <w:t>bazelor</w:t>
      </w:r>
      <w:proofErr w:type="spellEnd"/>
      <w:r>
        <w:t xml:space="preserve"> de date </w:t>
      </w:r>
      <w:proofErr w:type="spellStart"/>
      <w:r>
        <w:t>conținând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victimele</w:t>
      </w:r>
      <w:proofErr w:type="spellEnd"/>
      <w:r>
        <w:t xml:space="preserve"> </w:t>
      </w:r>
      <w:proofErr w:type="spellStart"/>
      <w:r>
        <w:t>infracțiunilor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, ca </w:t>
      </w:r>
      <w:proofErr w:type="spellStart"/>
      <w:r>
        <w:t>infracțiune</w:t>
      </w:r>
      <w:proofErr w:type="spellEnd"/>
      <w:r>
        <w:t xml:space="preserve"> </w:t>
      </w:r>
      <w:proofErr w:type="spellStart"/>
      <w:r>
        <w:t>distinctă</w:t>
      </w:r>
      <w:proofErr w:type="spellEnd"/>
      <w:r>
        <w:t xml:space="preserve"> (</w:t>
      </w:r>
      <w:proofErr w:type="spellStart"/>
      <w:r>
        <w:t>propunere</w:t>
      </w:r>
      <w:proofErr w:type="spellEnd"/>
      <w:r>
        <w:t xml:space="preserve">: </w:t>
      </w:r>
      <w:proofErr w:type="spellStart"/>
      <w:r>
        <w:t>completarea</w:t>
      </w:r>
      <w:proofErr w:type="spellEnd"/>
      <w:r>
        <w:t xml:space="preserve"> art. 259 Cod penal — </w:t>
      </w:r>
      <w:proofErr w:type="spellStart"/>
      <w:r>
        <w:t>violarea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la </w:t>
      </w:r>
      <w:proofErr w:type="spellStart"/>
      <w:r>
        <w:t>corespondență</w:t>
      </w:r>
      <w:proofErr w:type="spellEnd"/>
      <w:r>
        <w:t xml:space="preserve"> —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articol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); </w:t>
      </w:r>
    </w:p>
    <w:p w14:paraId="553E58FE" w14:textId="77777777" w:rsidR="00BA0B77" w:rsidRDefault="00000000">
      <w:pPr>
        <w:numPr>
          <w:ilvl w:val="0"/>
          <w:numId w:val="5"/>
        </w:numPr>
        <w:spacing w:after="208"/>
        <w:ind w:right="67"/>
      </w:pPr>
      <w:r>
        <w:t xml:space="preserve">c) </w:t>
      </w:r>
      <w:proofErr w:type="spellStart"/>
      <w:r>
        <w:t>Obligarea</w:t>
      </w:r>
      <w:proofErr w:type="spellEnd"/>
      <w:r>
        <w:t xml:space="preserve"> </w:t>
      </w:r>
      <w:proofErr w:type="spellStart"/>
      <w:r>
        <w:t>prestatorilor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</w:t>
      </w:r>
      <w:proofErr w:type="spellEnd"/>
      <w:r>
        <w:t xml:space="preserve"> un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sporită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conturilor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anterior ca </w:t>
      </w:r>
      <w:proofErr w:type="spellStart"/>
      <w:r>
        <w:t>victime</w:t>
      </w:r>
      <w:proofErr w:type="spellEnd"/>
      <w:r>
        <w:t xml:space="preserve"> ale </w:t>
      </w:r>
      <w:proofErr w:type="spellStart"/>
      <w:r>
        <w:t>fraudelor</w:t>
      </w:r>
      <w:proofErr w:type="spellEnd"/>
      <w:r>
        <w:t xml:space="preserve">, pe o </w:t>
      </w:r>
      <w:proofErr w:type="spellStart"/>
      <w:r>
        <w:t>perioadă</w:t>
      </w:r>
      <w:proofErr w:type="spellEnd"/>
      <w:r>
        <w:t xml:space="preserve"> de 12 </w:t>
      </w:r>
      <w:proofErr w:type="spellStart"/>
      <w:r>
        <w:t>luni</w:t>
      </w:r>
      <w:proofErr w:type="spellEnd"/>
      <w:r>
        <w:t xml:space="preserve">, cu </w:t>
      </w:r>
      <w:proofErr w:type="spellStart"/>
      <w:r>
        <w:t>alertare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 la </w:t>
      </w:r>
      <w:proofErr w:type="spellStart"/>
      <w:r>
        <w:t>detectarea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tipare</w:t>
      </w:r>
      <w:proofErr w:type="spellEnd"/>
      <w:r>
        <w:t xml:space="preserve"> de </w:t>
      </w:r>
      <w:proofErr w:type="spellStart"/>
      <w:r>
        <w:t>tranzacții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. </w:t>
      </w:r>
    </w:p>
    <w:p w14:paraId="53E8D8D2" w14:textId="77777777" w:rsidR="00BA0B77" w:rsidRDefault="00000000">
      <w:pPr>
        <w:spacing w:after="228" w:line="259" w:lineRule="auto"/>
        <w:ind w:left="916" w:firstLine="0"/>
        <w:jc w:val="left"/>
      </w:pPr>
      <w:r>
        <w:t xml:space="preserve"> </w:t>
      </w:r>
    </w:p>
    <w:p w14:paraId="26D2D43F" w14:textId="77777777" w:rsidR="00BA0B77" w:rsidRDefault="00000000">
      <w:pPr>
        <w:pStyle w:val="Heading2"/>
        <w:ind w:left="911"/>
      </w:pPr>
      <w:r>
        <w:t xml:space="preserve">6.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de </w:t>
      </w:r>
      <w:proofErr w:type="spellStart"/>
      <w:r>
        <w:t>reflecție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transferurile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rPr>
          <w:b w:val="0"/>
        </w:rPr>
        <w:t xml:space="preserve"> </w:t>
      </w:r>
    </w:p>
    <w:p w14:paraId="01253435" w14:textId="77777777" w:rsidR="00BA0B77" w:rsidRDefault="00000000">
      <w:pPr>
        <w:spacing w:line="357" w:lineRule="auto"/>
        <w:ind w:left="835" w:right="67"/>
      </w:pPr>
      <w:proofErr w:type="spellStart"/>
      <w:r>
        <w:t>Tiparele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platformelor</w:t>
      </w:r>
      <w:proofErr w:type="spellEnd"/>
      <w:r>
        <w:t xml:space="preserve"> investigate </w:t>
      </w:r>
      <w:proofErr w:type="spellStart"/>
      <w:r>
        <w:t>arată</w:t>
      </w:r>
      <w:proofErr w:type="spellEnd"/>
      <w:r>
        <w:t xml:space="preserve"> o </w:t>
      </w:r>
      <w:proofErr w:type="spellStart"/>
      <w:r>
        <w:t>progresie</w:t>
      </w:r>
      <w:proofErr w:type="spellEnd"/>
      <w:r>
        <w:t xml:space="preserve"> </w:t>
      </w:r>
      <w:proofErr w:type="spellStart"/>
      <w:r>
        <w:t>controlată</w:t>
      </w:r>
      <w:proofErr w:type="spellEnd"/>
      <w:r>
        <w:t xml:space="preserve"> a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de </w:t>
      </w:r>
      <w:proofErr w:type="spellStart"/>
      <w:r>
        <w:t>victime</w:t>
      </w:r>
      <w:proofErr w:type="spellEnd"/>
      <w:r>
        <w:t xml:space="preserve">: </w:t>
      </w:r>
      <w:proofErr w:type="spellStart"/>
      <w:r>
        <w:t>depozite</w:t>
      </w:r>
      <w:proofErr w:type="spellEnd"/>
      <w:r>
        <w:t xml:space="preserve"> </w:t>
      </w:r>
      <w:proofErr w:type="spellStart"/>
      <w:r>
        <w:t>inițiale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(50-200 USD), </w:t>
      </w:r>
      <w:proofErr w:type="spellStart"/>
      <w:r>
        <w:t>urmate</w:t>
      </w:r>
      <w:proofErr w:type="spellEnd"/>
      <w:r>
        <w:t xml:space="preserve"> de </w:t>
      </w:r>
      <w:proofErr w:type="spellStart"/>
      <w:r>
        <w:t>sume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pe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„</w:t>
      </w:r>
      <w:proofErr w:type="spellStart"/>
      <w:r>
        <w:t>agentul</w:t>
      </w:r>
      <w:proofErr w:type="spellEnd"/>
      <w:r>
        <w:t xml:space="preserve">" </w:t>
      </w:r>
      <w:proofErr w:type="spellStart"/>
      <w:r>
        <w:t>câștigă</w:t>
      </w:r>
      <w:proofErr w:type="spellEnd"/>
      <w:r>
        <w:t xml:space="preserve"> </w:t>
      </w:r>
      <w:proofErr w:type="spellStart"/>
      <w:r>
        <w:t>încrederea</w:t>
      </w:r>
      <w:proofErr w:type="spellEnd"/>
      <w:r>
        <w:t xml:space="preserve"> </w:t>
      </w:r>
      <w:proofErr w:type="spellStart"/>
      <w:r>
        <w:t>victimei</w:t>
      </w:r>
      <w:proofErr w:type="spellEnd"/>
      <w:r>
        <w:t xml:space="preserve">. </w:t>
      </w:r>
      <w:proofErr w:type="spellStart"/>
      <w:r>
        <w:t>Prejudiciul</w:t>
      </w:r>
      <w:proofErr w:type="spellEnd"/>
      <w:r>
        <w:t xml:space="preserve"> final per </w:t>
      </w:r>
      <w:proofErr w:type="spellStart"/>
      <w:r>
        <w:t>victimă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atinge</w:t>
      </w:r>
      <w:proofErr w:type="spellEnd"/>
      <w:r>
        <w:t xml:space="preserve"> </w:t>
      </w:r>
      <w:proofErr w:type="spellStart"/>
      <w:r>
        <w:t>zeci</w:t>
      </w:r>
      <w:proofErr w:type="spellEnd"/>
      <w:r>
        <w:t xml:space="preserve"> de mii de </w:t>
      </w:r>
      <w:proofErr w:type="spellStart"/>
      <w:r>
        <w:t>dolari</w:t>
      </w:r>
      <w:proofErr w:type="spellEnd"/>
      <w:r>
        <w:t xml:space="preserve">.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de </w:t>
      </w:r>
      <w:proofErr w:type="spellStart"/>
      <w:r>
        <w:t>reflecție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transferurile</w:t>
      </w:r>
      <w:proofErr w:type="spellEnd"/>
      <w:r>
        <w:t xml:space="preserve"> </w:t>
      </w:r>
      <w:proofErr w:type="spellStart"/>
      <w:r>
        <w:t>atipice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întrerupe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ciclu</w:t>
      </w:r>
      <w:proofErr w:type="spellEnd"/>
      <w:r>
        <w:t xml:space="preserve"> de </w:t>
      </w:r>
      <w:proofErr w:type="spellStart"/>
      <w:r>
        <w:t>escaladare</w:t>
      </w:r>
      <w:proofErr w:type="spellEnd"/>
      <w:r>
        <w:t xml:space="preserve">. </w:t>
      </w:r>
    </w:p>
    <w:p w14:paraId="0B507507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28A6419F" w14:textId="77777777" w:rsidR="00BA0B77" w:rsidRDefault="00000000">
      <w:pPr>
        <w:numPr>
          <w:ilvl w:val="0"/>
          <w:numId w:val="6"/>
        </w:numPr>
        <w:ind w:right="67"/>
      </w:pPr>
      <w:r>
        <w:t xml:space="preserve">a)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114/2012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moneda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obligației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prestatorii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reflecție</w:t>
      </w:r>
      <w:proofErr w:type="spellEnd"/>
      <w:r>
        <w:t xml:space="preserve"> de minimum 24 de ore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transferurile</w:t>
      </w:r>
      <w:proofErr w:type="spellEnd"/>
      <w:r>
        <w:t xml:space="preserve"> care </w:t>
      </w:r>
      <w:proofErr w:type="spellStart"/>
      <w:r>
        <w:t>depășesc</w:t>
      </w:r>
      <w:proofErr w:type="spellEnd"/>
      <w:r>
        <w:t xml:space="preserve"> de 3 </w:t>
      </w:r>
      <w:proofErr w:type="spellStart"/>
      <w:r>
        <w:t>ori</w:t>
      </w:r>
      <w:proofErr w:type="spellEnd"/>
      <w:r>
        <w:t xml:space="preserve"> media </w:t>
      </w:r>
      <w:proofErr w:type="spellStart"/>
      <w:r>
        <w:lastRenderedPageBreak/>
        <w:t>lunară</w:t>
      </w:r>
      <w:proofErr w:type="spellEnd"/>
      <w:r>
        <w:t xml:space="preserve"> a </w:t>
      </w:r>
      <w:proofErr w:type="spellStart"/>
      <w:r>
        <w:t>tranzacțiilor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sunt destinate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situați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jurisdicții</w:t>
      </w:r>
      <w:proofErr w:type="spellEnd"/>
      <w:r>
        <w:t xml:space="preserve"> cu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ridicat</w:t>
      </w:r>
      <w:proofErr w:type="spellEnd"/>
      <w:r>
        <w:t xml:space="preserve">; </w:t>
      </w:r>
    </w:p>
    <w:p w14:paraId="0D3038F5" w14:textId="77777777" w:rsidR="00BA0B77" w:rsidRDefault="00000000">
      <w:pPr>
        <w:numPr>
          <w:ilvl w:val="0"/>
          <w:numId w:val="6"/>
        </w:numPr>
        <w:spacing w:after="28"/>
        <w:ind w:right="67"/>
      </w:pPr>
      <w:r>
        <w:t xml:space="preserve">b)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reflecție</w:t>
      </w:r>
      <w:proofErr w:type="spellEnd"/>
      <w:r>
        <w:t xml:space="preserve">,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contacta</w:t>
      </w:r>
      <w:proofErr w:type="spellEnd"/>
      <w:r>
        <w:t xml:space="preserve"> </w:t>
      </w:r>
      <w:proofErr w:type="spellStart"/>
      <w:r>
        <w:t>clientul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canalul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verificat</w:t>
      </w:r>
      <w:proofErr w:type="spellEnd"/>
      <w:r>
        <w:t xml:space="preserve"> (</w:t>
      </w:r>
      <w:proofErr w:type="spellStart"/>
      <w:r>
        <w:t>apel</w:t>
      </w:r>
      <w:proofErr w:type="spellEnd"/>
      <w:r>
        <w:t xml:space="preserve"> </w:t>
      </w:r>
      <w:proofErr w:type="spellStart"/>
      <w:r>
        <w:t>telefonic</w:t>
      </w:r>
      <w:proofErr w:type="spellEnd"/>
      <w:r>
        <w:t xml:space="preserve">, nu SMS)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intenției</w:t>
      </w:r>
      <w:proofErr w:type="spellEnd"/>
      <w:r>
        <w:t xml:space="preserve"> de transfer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riscurile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; </w:t>
      </w:r>
    </w:p>
    <w:p w14:paraId="0E05D614" w14:textId="77777777" w:rsidR="00BA0B77" w:rsidRDefault="00000000">
      <w:pPr>
        <w:numPr>
          <w:ilvl w:val="0"/>
          <w:numId w:val="6"/>
        </w:numPr>
        <w:spacing w:after="208"/>
        <w:ind w:right="67"/>
      </w:pPr>
      <w:r>
        <w:t xml:space="preserve">c) </w:t>
      </w:r>
      <w:proofErr w:type="spellStart"/>
      <w:r>
        <w:t>Excluderea</w:t>
      </w:r>
      <w:proofErr w:type="spellEnd"/>
      <w:r>
        <w:t xml:space="preserve"> de la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reflecție</w:t>
      </w:r>
      <w:proofErr w:type="spellEnd"/>
      <w:r>
        <w:t xml:space="preserve"> a </w:t>
      </w:r>
      <w:proofErr w:type="spellStart"/>
      <w:r>
        <w:t>transferurilor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 </w:t>
      </w:r>
      <w:proofErr w:type="spellStart"/>
      <w:r>
        <w:t>aceluiași</w:t>
      </w:r>
      <w:proofErr w:type="spellEnd"/>
      <w:r>
        <w:t xml:space="preserve"> titular, a </w:t>
      </w:r>
      <w:proofErr w:type="spellStart"/>
      <w:r>
        <w:t>plăților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transferurilor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verificați</w:t>
      </w:r>
      <w:proofErr w:type="spellEnd"/>
      <w:r>
        <w:t xml:space="preserve"> anterior. </w:t>
      </w:r>
    </w:p>
    <w:p w14:paraId="10F2688A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3EA138DB" w14:textId="77777777" w:rsidR="00BA0B77" w:rsidRDefault="00000000">
      <w:pPr>
        <w:pStyle w:val="Heading2"/>
        <w:ind w:left="911"/>
      </w:pPr>
      <w:r>
        <w:t xml:space="preserve">7.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blocarea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rPr>
          <w:b w:val="0"/>
        </w:rPr>
        <w:t xml:space="preserve"> </w:t>
      </w:r>
    </w:p>
    <w:p w14:paraId="4A0F0D07" w14:textId="77777777" w:rsidR="00BA0B77" w:rsidRDefault="00000000">
      <w:pPr>
        <w:spacing w:line="356" w:lineRule="auto"/>
        <w:ind w:left="835" w:right="67"/>
      </w:pP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, nu </w: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mecanism</w:t>
      </w:r>
      <w:proofErr w:type="spellEnd"/>
      <w:r>
        <w:t xml:space="preserve"> </w:t>
      </w:r>
      <w:proofErr w:type="spellStart"/>
      <w:r>
        <w:t>centralizat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cetățenii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platformă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blocarea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 se face punctual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întârziere</w:t>
      </w:r>
      <w:proofErr w:type="spellEnd"/>
      <w:r>
        <w:t xml:space="preserve">.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rețelele</w:t>
      </w:r>
      <w:proofErr w:type="spellEnd"/>
      <w:r>
        <w:t xml:space="preserve"> investigate </w:t>
      </w:r>
      <w:proofErr w:type="spellStart"/>
      <w:r>
        <w:t>operează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sub </w:t>
      </w:r>
      <w:proofErr w:type="spellStart"/>
      <w:r>
        <w:t>zeci</w:t>
      </w:r>
      <w:proofErr w:type="spellEnd"/>
      <w:r>
        <w:t xml:space="preserve"> de </w:t>
      </w:r>
      <w:proofErr w:type="spellStart"/>
      <w:r>
        <w:t>denumiri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internet,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o </w:t>
      </w:r>
      <w:proofErr w:type="spellStart"/>
      <w:r>
        <w:t>abordare</w:t>
      </w:r>
      <w:proofErr w:type="spellEnd"/>
      <w:r>
        <w:t xml:space="preserve"> </w:t>
      </w:r>
      <w:proofErr w:type="spellStart"/>
      <w:r>
        <w:t>sistematică</w:t>
      </w:r>
      <w:proofErr w:type="spellEnd"/>
      <w:r>
        <w:t xml:space="preserve">. </w:t>
      </w:r>
    </w:p>
    <w:p w14:paraId="3E739112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72913CF9" w14:textId="77777777" w:rsidR="00BA0B77" w:rsidRDefault="00000000">
      <w:pPr>
        <w:numPr>
          <w:ilvl w:val="0"/>
          <w:numId w:val="7"/>
        </w:numPr>
        <w:spacing w:after="28"/>
        <w:ind w:right="67" w:firstLine="286"/>
      </w:pPr>
      <w:r>
        <w:t xml:space="preserve">a)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CNPF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al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, </w:t>
      </w:r>
      <w:proofErr w:type="spellStart"/>
      <w:r>
        <w:t>actualizat</w:t>
      </w:r>
      <w:proofErr w:type="spellEnd"/>
      <w:r>
        <w:t xml:space="preserve"> </w:t>
      </w:r>
      <w:proofErr w:type="spellStart"/>
      <w:r>
        <w:t>săptămânal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conțină</w:t>
      </w:r>
      <w:proofErr w:type="spellEnd"/>
      <w:r>
        <w:t xml:space="preserve"> </w:t>
      </w:r>
      <w:proofErr w:type="spellStart"/>
      <w:r>
        <w:t>denumirile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, </w:t>
      </w:r>
      <w:proofErr w:type="spellStart"/>
      <w:r>
        <w:t>domeniile</w:t>
      </w:r>
      <w:proofErr w:type="spellEnd"/>
      <w:r>
        <w:t xml:space="preserve"> internet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aplicațiile</w:t>
      </w:r>
      <w:proofErr w:type="spellEnd"/>
      <w:r>
        <w:t xml:space="preserve"> mobile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entităților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; </w:t>
      </w:r>
    </w:p>
    <w:p w14:paraId="48DD09B4" w14:textId="77777777" w:rsidR="00BA0B77" w:rsidRDefault="00000000">
      <w:pPr>
        <w:numPr>
          <w:ilvl w:val="0"/>
          <w:numId w:val="7"/>
        </w:numPr>
        <w:spacing w:after="29" w:line="266" w:lineRule="auto"/>
        <w:ind w:right="67" w:firstLine="286"/>
      </w:pPr>
      <w:r>
        <w:t xml:space="preserve">b) </w:t>
      </w:r>
      <w:proofErr w:type="spellStart"/>
      <w:r>
        <w:t>Obligarea</w:t>
      </w:r>
      <w:proofErr w:type="spellEnd"/>
      <w:r>
        <w:t xml:space="preserve"> </w:t>
      </w:r>
      <w:proofErr w:type="spellStart"/>
      <w:r>
        <w:t>furnizorilor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internet (ISP) de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implementa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de </w:t>
      </w:r>
      <w:proofErr w:type="spellStart"/>
      <w:r>
        <w:t>avertizare</w:t>
      </w:r>
      <w:proofErr w:type="spellEnd"/>
      <w:r>
        <w:t xml:space="preserve"> (</w:t>
      </w:r>
      <w:proofErr w:type="spellStart"/>
      <w:r>
        <w:t>pagină</w:t>
      </w:r>
      <w:proofErr w:type="spellEnd"/>
      <w:r>
        <w:t xml:space="preserve"> de </w:t>
      </w:r>
      <w:proofErr w:type="spellStart"/>
      <w:r>
        <w:t>avertizare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implementat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state </w:t>
      </w:r>
      <w:proofErr w:type="spellStart"/>
      <w:r>
        <w:t>membre</w:t>
      </w:r>
      <w:proofErr w:type="spellEnd"/>
      <w:r>
        <w:t xml:space="preserve"> UE; </w:t>
      </w:r>
    </w:p>
    <w:p w14:paraId="62CA11EF" w14:textId="77777777" w:rsidR="00BA0B77" w:rsidRDefault="00000000">
      <w:pPr>
        <w:numPr>
          <w:ilvl w:val="0"/>
          <w:numId w:val="7"/>
        </w:numPr>
        <w:spacing w:after="208"/>
        <w:ind w:right="67" w:firstLine="286"/>
      </w:pPr>
      <w:r>
        <w:t xml:space="preserve">c)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cu </w:t>
      </w:r>
      <w:proofErr w:type="spellStart"/>
      <w:r>
        <w:t>sistemele</w:t>
      </w:r>
      <w:proofErr w:type="spellEnd"/>
      <w:r>
        <w:t xml:space="preserve"> anti-fraud ale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transferurile</w:t>
      </w:r>
      <w:proofErr w:type="spellEnd"/>
      <w:r>
        <w:t xml:space="preserve"> destinate </w:t>
      </w:r>
      <w:proofErr w:type="spellStart"/>
      <w:r>
        <w:t>entităților</w:t>
      </w:r>
      <w:proofErr w:type="spellEnd"/>
      <w:r>
        <w:t xml:space="preserve"> din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automat </w:t>
      </w:r>
      <w:proofErr w:type="spellStart"/>
      <w:r>
        <w:t>semnalate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. </w:t>
      </w:r>
    </w:p>
    <w:p w14:paraId="7D1EEBF7" w14:textId="77777777" w:rsidR="00BA0B77" w:rsidRDefault="00000000">
      <w:pPr>
        <w:spacing w:after="228" w:line="259" w:lineRule="auto"/>
        <w:ind w:left="916" w:firstLine="0"/>
        <w:jc w:val="left"/>
      </w:pPr>
      <w:r>
        <w:t xml:space="preserve"> </w:t>
      </w:r>
    </w:p>
    <w:p w14:paraId="264F6362" w14:textId="77777777" w:rsidR="00BA0B77" w:rsidRDefault="00000000">
      <w:pPr>
        <w:pStyle w:val="Heading2"/>
        <w:spacing w:after="120" w:line="358" w:lineRule="auto"/>
        <w:ind w:left="901" w:firstLine="66"/>
      </w:pPr>
      <w:r>
        <w:t xml:space="preserve">8. </w:t>
      </w:r>
      <w:proofErr w:type="spellStart"/>
      <w:r>
        <w:t>Responsabilizarea</w:t>
      </w:r>
      <w:proofErr w:type="spellEnd"/>
      <w:r>
        <w:t xml:space="preserve"> </w:t>
      </w:r>
      <w:proofErr w:type="spellStart"/>
      <w:r>
        <w:t>prestatorilor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care </w:t>
      </w:r>
      <w:proofErr w:type="spellStart"/>
      <w:r>
        <w:t>procesează</w:t>
      </w:r>
      <w:proofErr w:type="spellEnd"/>
      <w:r>
        <w:t xml:space="preserve">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rPr>
          <w:b w:val="0"/>
        </w:rPr>
        <w:t xml:space="preserve"> </w:t>
      </w:r>
    </w:p>
    <w:p w14:paraId="4EA47BCB" w14:textId="77777777" w:rsidR="00BA0B77" w:rsidRDefault="00000000">
      <w:pPr>
        <w:spacing w:line="357" w:lineRule="auto"/>
        <w:ind w:left="835" w:right="67"/>
      </w:pPr>
      <w:proofErr w:type="spellStart"/>
      <w:r>
        <w:t>Investigațiile</w:t>
      </w:r>
      <w:proofErr w:type="spellEnd"/>
      <w:r>
        <w:t xml:space="preserve"> </w:t>
      </w:r>
      <w:proofErr w:type="spellStart"/>
      <w:r>
        <w:t>demonstrează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platformele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zeci</w:t>
      </w:r>
      <w:proofErr w:type="spellEnd"/>
      <w:r>
        <w:t xml:space="preserve"> de </w:t>
      </w:r>
      <w:proofErr w:type="spellStart"/>
      <w:r>
        <w:t>procesatori</w:t>
      </w:r>
      <w:proofErr w:type="spellEnd"/>
      <w:r>
        <w:t xml:space="preserve"> de </w:t>
      </w:r>
      <w:proofErr w:type="spellStart"/>
      <w:r>
        <w:t>plăți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canale</w:t>
      </w:r>
      <w:proofErr w:type="spellEnd"/>
      <w:r>
        <w:t xml:space="preserve"> de </w:t>
      </w:r>
      <w:proofErr w:type="spellStart"/>
      <w:r>
        <w:t>colectare</w:t>
      </w:r>
      <w:proofErr w:type="spellEnd"/>
      <w:r>
        <w:t xml:space="preserve"> a </w:t>
      </w:r>
      <w:proofErr w:type="spellStart"/>
      <w:r>
        <w:t>fondurilor</w:t>
      </w:r>
      <w:proofErr w:type="spellEnd"/>
      <w:r>
        <w:t xml:space="preserve"> (</w:t>
      </w:r>
      <w:proofErr w:type="spellStart"/>
      <w:r>
        <w:t>portofele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, </w:t>
      </w:r>
      <w:proofErr w:type="spellStart"/>
      <w:r>
        <w:t>procesatori</w:t>
      </w:r>
      <w:proofErr w:type="spellEnd"/>
      <w:r>
        <w:t xml:space="preserve"> de </w:t>
      </w:r>
      <w:proofErr w:type="spellStart"/>
      <w:r>
        <w:t>carduri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de transfer).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acești</w:t>
      </w:r>
      <w:proofErr w:type="spellEnd"/>
      <w:r>
        <w:t xml:space="preserve"> </w:t>
      </w:r>
      <w:proofErr w:type="spellStart"/>
      <w:r>
        <w:t>prestatori</w:t>
      </w:r>
      <w:proofErr w:type="spellEnd"/>
      <w:r>
        <w:t xml:space="preserve"> nu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verificările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de due diligence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comercianților</w:t>
      </w:r>
      <w:proofErr w:type="spellEnd"/>
      <w:r>
        <w:t xml:space="preserve"> pe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deservesc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ignoră</w:t>
      </w:r>
      <w:proofErr w:type="spellEnd"/>
      <w:r>
        <w:t xml:space="preserve"> </w:t>
      </w:r>
      <w:proofErr w:type="spellStart"/>
      <w:r>
        <w:t>semnalele</w:t>
      </w:r>
      <w:proofErr w:type="spellEnd"/>
      <w:r>
        <w:t xml:space="preserve"> </w:t>
      </w:r>
      <w:proofErr w:type="spellStart"/>
      <w:r>
        <w:t>evidente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(rate anormal de </w:t>
      </w:r>
      <w:proofErr w:type="spellStart"/>
      <w:r>
        <w:t>ridicate</w:t>
      </w:r>
      <w:proofErr w:type="spellEnd"/>
      <w:r>
        <w:t xml:space="preserve"> de dispute, volume </w:t>
      </w:r>
      <w:proofErr w:type="spellStart"/>
      <w:r>
        <w:t>disproporționate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declarată</w:t>
      </w:r>
      <w:proofErr w:type="spellEnd"/>
      <w:r>
        <w:t xml:space="preserve">). </w:t>
      </w:r>
    </w:p>
    <w:p w14:paraId="172E08BE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5C122D60" w14:textId="77777777" w:rsidR="00BA0B77" w:rsidRDefault="00000000">
      <w:pPr>
        <w:numPr>
          <w:ilvl w:val="0"/>
          <w:numId w:val="8"/>
        </w:numPr>
        <w:ind w:right="67"/>
      </w:pPr>
      <w:r>
        <w:t xml:space="preserve">a)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al BNM cu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prestatorii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verificări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ale </w:t>
      </w:r>
      <w:proofErr w:type="spellStart"/>
      <w:r>
        <w:t>comercianților</w:t>
      </w:r>
      <w:proofErr w:type="spellEnd"/>
      <w:r>
        <w:t xml:space="preserve"> </w:t>
      </w:r>
      <w:proofErr w:type="spellStart"/>
      <w:r>
        <w:t>acceptați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lastRenderedPageBreak/>
        <w:t>monitorizarea</w:t>
      </w:r>
      <w:proofErr w:type="spellEnd"/>
      <w:r>
        <w:t xml:space="preserve"> </w:t>
      </w:r>
      <w:proofErr w:type="spellStart"/>
      <w:r>
        <w:t>ratei</w:t>
      </w:r>
      <w:proofErr w:type="spellEnd"/>
      <w:r>
        <w:t xml:space="preserve"> de dispute (chargebacks)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reclamațiilor</w:t>
      </w:r>
      <w:proofErr w:type="spellEnd"/>
      <w:r>
        <w:t xml:space="preserve">, cu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rezilia</w:t>
      </w:r>
      <w:proofErr w:type="spellEnd"/>
      <w:r>
        <w:t xml:space="preserve"> </w:t>
      </w:r>
      <w:proofErr w:type="spellStart"/>
      <w:r>
        <w:t>relația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la </w:t>
      </w:r>
      <w:proofErr w:type="spellStart"/>
      <w:r>
        <w:t>depășirea</w:t>
      </w:r>
      <w:proofErr w:type="spellEnd"/>
      <w:r>
        <w:t xml:space="preserve"> </w:t>
      </w:r>
      <w:proofErr w:type="spellStart"/>
      <w:r>
        <w:t>pragurilor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; </w:t>
      </w:r>
    </w:p>
    <w:p w14:paraId="4063993C" w14:textId="77777777" w:rsidR="00BA0B77" w:rsidRDefault="00000000">
      <w:pPr>
        <w:numPr>
          <w:ilvl w:val="0"/>
          <w:numId w:val="8"/>
        </w:numPr>
        <w:spacing w:after="23"/>
        <w:ind w:right="67"/>
      </w:pPr>
      <w:r>
        <w:t xml:space="preserve">b)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răspunderii</w:t>
      </w:r>
      <w:proofErr w:type="spellEnd"/>
      <w:r>
        <w:t xml:space="preserve"> administrative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prestatorului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care </w:t>
      </w:r>
      <w:proofErr w:type="spellStart"/>
      <w:r>
        <w:t>continuă</w:t>
      </w:r>
      <w:proofErr w:type="spellEnd"/>
      <w:r>
        <w:t xml:space="preserve">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tranzacțiilor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comerciant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notificări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</w:t>
      </w:r>
      <w:proofErr w:type="spellStart"/>
      <w:r>
        <w:t>fraudulos</w:t>
      </w:r>
      <w:proofErr w:type="spellEnd"/>
      <w:r>
        <w:t xml:space="preserve"> al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; </w:t>
      </w:r>
    </w:p>
    <w:p w14:paraId="47FA7913" w14:textId="77777777" w:rsidR="00BA0B77" w:rsidRDefault="00000000">
      <w:pPr>
        <w:numPr>
          <w:ilvl w:val="0"/>
          <w:numId w:val="8"/>
        </w:numPr>
        <w:spacing w:after="208"/>
        <w:ind w:right="67"/>
      </w:pPr>
      <w:r>
        <w:t xml:space="preserve">c) </w:t>
      </w:r>
      <w:proofErr w:type="spellStart"/>
      <w:r>
        <w:t>Obligarea</w:t>
      </w:r>
      <w:proofErr w:type="spellEnd"/>
      <w:r>
        <w:t xml:space="preserve"> </w:t>
      </w:r>
      <w:proofErr w:type="spellStart"/>
      <w:r>
        <w:t>restituirii</w:t>
      </w:r>
      <w:proofErr w:type="spellEnd"/>
      <w:r>
        <w:t xml:space="preserve"> </w:t>
      </w:r>
      <w:proofErr w:type="spellStart"/>
      <w:r>
        <w:t>integrale</w:t>
      </w:r>
      <w:proofErr w:type="spellEnd"/>
      <w:r>
        <w:t xml:space="preserve"> a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procesate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victimele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prestatorul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verificărilor</w:t>
      </w:r>
      <w:proofErr w:type="spellEnd"/>
      <w:r>
        <w:t xml:space="preserve"> </w:t>
      </w:r>
      <w:proofErr w:type="spellStart"/>
      <w:r>
        <w:t>rezonabile</w:t>
      </w:r>
      <w:proofErr w:type="spellEnd"/>
      <w:r>
        <w:t xml:space="preserve"> (</w:t>
      </w:r>
      <w:proofErr w:type="spellStart"/>
      <w:r>
        <w:t>inversarea</w:t>
      </w:r>
      <w:proofErr w:type="spellEnd"/>
      <w:r>
        <w:t xml:space="preserve"> </w:t>
      </w:r>
      <w:proofErr w:type="spellStart"/>
      <w:r>
        <w:t>sarcinii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due diligence-</w:t>
      </w:r>
      <w:proofErr w:type="spellStart"/>
      <w:r>
        <w:t>ul</w:t>
      </w:r>
      <w:proofErr w:type="spellEnd"/>
      <w:r>
        <w:t xml:space="preserve">). </w:t>
      </w:r>
    </w:p>
    <w:p w14:paraId="6F03A56B" w14:textId="77777777" w:rsidR="00BA0B77" w:rsidRDefault="00000000">
      <w:pPr>
        <w:pStyle w:val="Heading2"/>
        <w:ind w:left="911"/>
      </w:pPr>
      <w:r>
        <w:t xml:space="preserve">9. </w:t>
      </w:r>
      <w:proofErr w:type="spellStart"/>
      <w:r>
        <w:t>Baza</w:t>
      </w:r>
      <w:proofErr w:type="spellEnd"/>
      <w:r>
        <w:t xml:space="preserve"> de date </w:t>
      </w:r>
      <w:proofErr w:type="spellStart"/>
      <w:r>
        <w:t>națională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indicatorilor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rPr>
          <w:b w:val="0"/>
        </w:rPr>
        <w:t xml:space="preserve"> </w:t>
      </w:r>
    </w:p>
    <w:p w14:paraId="79EDD9B4" w14:textId="77777777" w:rsidR="00BA0B77" w:rsidRDefault="00000000">
      <w:pPr>
        <w:spacing w:line="356" w:lineRule="auto"/>
        <w:ind w:left="835" w:right="67"/>
      </w:pPr>
      <w:proofErr w:type="spellStart"/>
      <w:r>
        <w:t>Lipsa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centralizat</w:t>
      </w:r>
      <w:proofErr w:type="spellEnd"/>
      <w:r>
        <w:t xml:space="preserve"> de </w:t>
      </w:r>
      <w:proofErr w:type="spellStart"/>
      <w:r>
        <w:t>partajare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indicatorilor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(</w:t>
      </w:r>
      <w:proofErr w:type="spellStart"/>
      <w:r>
        <w:t>numere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conturi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, </w:t>
      </w:r>
      <w:proofErr w:type="spellStart"/>
      <w:r>
        <w:t>domenii</w:t>
      </w:r>
      <w:proofErr w:type="spellEnd"/>
      <w:r>
        <w:t xml:space="preserve"> internet, </w:t>
      </w:r>
      <w:proofErr w:type="spellStart"/>
      <w:r>
        <w:t>adrese</w:t>
      </w:r>
      <w:proofErr w:type="spellEnd"/>
      <w:r>
        <w:t xml:space="preserve"> de </w:t>
      </w:r>
      <w:proofErr w:type="spellStart"/>
      <w:r>
        <w:t>criptomonede</w:t>
      </w:r>
      <w:proofErr w:type="spellEnd"/>
      <w:r>
        <w:t xml:space="preserve">, </w:t>
      </w:r>
      <w:proofErr w:type="spellStart"/>
      <w:r>
        <w:t>adrese</w:t>
      </w:r>
      <w:proofErr w:type="spellEnd"/>
      <w:r>
        <w:t xml:space="preserve"> IP)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implicate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întârzieri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repetată</w:t>
      </w:r>
      <w:proofErr w:type="spellEnd"/>
      <w:r>
        <w:t xml:space="preserve"> a </w:t>
      </w:r>
      <w:proofErr w:type="spellStart"/>
      <w:r>
        <w:t>acelorași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infractori</w:t>
      </w:r>
      <w:proofErr w:type="spellEnd"/>
      <w:r>
        <w:t xml:space="preserve">. </w:t>
      </w:r>
    </w:p>
    <w:p w14:paraId="34C5B485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1FAB1BF9" w14:textId="77777777" w:rsidR="00BA0B77" w:rsidRDefault="00000000">
      <w:pPr>
        <w:numPr>
          <w:ilvl w:val="0"/>
          <w:numId w:val="9"/>
        </w:numPr>
        <w:spacing w:after="23"/>
        <w:ind w:right="67"/>
      </w:pPr>
      <w:r>
        <w:t xml:space="preserve">a) </w:t>
      </w:r>
      <w:proofErr w:type="spellStart"/>
      <w:r>
        <w:t>Crearea</w:t>
      </w:r>
      <w:proofErr w:type="spellEnd"/>
      <w:r>
        <w:t xml:space="preserve">, sub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Centrului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Antifraudă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,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de date </w:t>
      </w:r>
      <w:proofErr w:type="spellStart"/>
      <w:r>
        <w:t>operaționale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conțină</w:t>
      </w:r>
      <w:proofErr w:type="spellEnd"/>
      <w:r>
        <w:t xml:space="preserve">: </w:t>
      </w:r>
      <w:proofErr w:type="spellStart"/>
      <w:r>
        <w:t>numerele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apeluri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, IBAN-urile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transferuri</w:t>
      </w:r>
      <w:proofErr w:type="spellEnd"/>
      <w:r>
        <w:t xml:space="preserve"> </w:t>
      </w:r>
      <w:proofErr w:type="spellStart"/>
      <w:r>
        <w:t>suspecte</w:t>
      </w:r>
      <w:proofErr w:type="spellEnd"/>
      <w:r>
        <w:t xml:space="preserve">, </w:t>
      </w:r>
      <w:proofErr w:type="spellStart"/>
      <w:r>
        <w:t>domeniile</w:t>
      </w:r>
      <w:proofErr w:type="spellEnd"/>
      <w:r>
        <w:t xml:space="preserve"> internet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adresele</w:t>
      </w:r>
      <w:proofErr w:type="spellEnd"/>
      <w:r>
        <w:t xml:space="preserve"> IP ale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, </w:t>
      </w:r>
      <w:proofErr w:type="spellStart"/>
      <w:r>
        <w:t>adresele</w:t>
      </w:r>
      <w:proofErr w:type="spellEnd"/>
      <w:r>
        <w:t xml:space="preserve"> de </w:t>
      </w:r>
      <w:proofErr w:type="spellStart"/>
      <w:r>
        <w:t>criptomonede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; </w:t>
      </w:r>
    </w:p>
    <w:p w14:paraId="025CE824" w14:textId="77777777" w:rsidR="00BA0B77" w:rsidRDefault="00000000">
      <w:pPr>
        <w:numPr>
          <w:ilvl w:val="0"/>
          <w:numId w:val="9"/>
        </w:numPr>
        <w:spacing w:after="28"/>
        <w:ind w:right="67"/>
      </w:pPr>
      <w:r>
        <w:t xml:space="preserve">b)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real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participanții</w:t>
      </w:r>
      <w:proofErr w:type="spellEnd"/>
      <w:r>
        <w:t xml:space="preserve"> la HUB (</w:t>
      </w:r>
      <w:proofErr w:type="spellStart"/>
      <w:r>
        <w:t>bănci</w:t>
      </w:r>
      <w:proofErr w:type="spellEnd"/>
      <w:r>
        <w:t xml:space="preserve">, </w:t>
      </w:r>
      <w:proofErr w:type="spellStart"/>
      <w:r>
        <w:t>operatori</w:t>
      </w:r>
      <w:proofErr w:type="spellEnd"/>
      <w:r>
        <w:t xml:space="preserve"> telecom, </w:t>
      </w:r>
      <w:proofErr w:type="spellStart"/>
      <w:r>
        <w:t>organe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), cu </w:t>
      </w:r>
      <w:proofErr w:type="spellStart"/>
      <w:r>
        <w:t>protocoale</w:t>
      </w:r>
      <w:proofErr w:type="spellEnd"/>
      <w:r>
        <w:t xml:space="preserve"> </w:t>
      </w:r>
      <w:proofErr w:type="spellStart"/>
      <w:r>
        <w:t>diferențiate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nivelul</w:t>
      </w:r>
      <w:proofErr w:type="spellEnd"/>
      <w:r>
        <w:t xml:space="preserve"> de </w:t>
      </w:r>
      <w:proofErr w:type="spellStart"/>
      <w:r>
        <w:t>clasificare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; </w:t>
      </w:r>
    </w:p>
    <w:p w14:paraId="414267E6" w14:textId="77777777" w:rsidR="00BA0B77" w:rsidRDefault="00000000">
      <w:pPr>
        <w:numPr>
          <w:ilvl w:val="0"/>
          <w:numId w:val="9"/>
        </w:numPr>
        <w:spacing w:after="208"/>
        <w:ind w:right="67"/>
      </w:pPr>
      <w:r>
        <w:t xml:space="preserve">c) </w:t>
      </w:r>
      <w:proofErr w:type="spellStart"/>
      <w:r>
        <w:t>Obligarea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interoga</w:t>
      </w:r>
      <w:proofErr w:type="spellEnd"/>
      <w:r>
        <w:t xml:space="preserve"> automat </w:t>
      </w:r>
      <w:proofErr w:type="spellStart"/>
      <w:r>
        <w:t>baza</w:t>
      </w:r>
      <w:proofErr w:type="spellEnd"/>
      <w:r>
        <w:t xml:space="preserve"> de date la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transferurilor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sporită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figurează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date. </w:t>
      </w:r>
    </w:p>
    <w:p w14:paraId="2B98AC96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1B21D2A8" w14:textId="77777777" w:rsidR="00BA0B77" w:rsidRDefault="00000000">
      <w:pPr>
        <w:pStyle w:val="Heading2"/>
        <w:spacing w:after="120" w:line="358" w:lineRule="auto"/>
        <w:ind w:left="901" w:firstLine="66"/>
      </w:pPr>
      <w:r>
        <w:t xml:space="preserve">10.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colaboratorilor</w:t>
      </w:r>
      <w:proofErr w:type="spellEnd"/>
      <w:r>
        <w:t xml:space="preserve"> care </w:t>
      </w:r>
      <w:proofErr w:type="spellStart"/>
      <w:r>
        <w:t>denunță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infracțională</w:t>
      </w:r>
      <w:proofErr w:type="spellEnd"/>
      <w:r>
        <w:t xml:space="preserve"> a call-</w:t>
      </w:r>
      <w:proofErr w:type="spellStart"/>
      <w:r>
        <w:t>centrelor</w:t>
      </w:r>
      <w:proofErr w:type="spellEnd"/>
      <w:r>
        <w:rPr>
          <w:b w:val="0"/>
        </w:rPr>
        <w:t xml:space="preserve"> </w:t>
      </w:r>
    </w:p>
    <w:p w14:paraId="7B9B3A8A" w14:textId="77777777" w:rsidR="00BA0B77" w:rsidRDefault="00000000">
      <w:pPr>
        <w:spacing w:line="356" w:lineRule="auto"/>
        <w:ind w:left="835" w:right="67"/>
      </w:pPr>
      <w:proofErr w:type="spellStart"/>
      <w:r>
        <w:t>Rețelele</w:t>
      </w:r>
      <w:proofErr w:type="spellEnd"/>
      <w:r>
        <w:t xml:space="preserve"> </w:t>
      </w:r>
      <w:proofErr w:type="spellStart"/>
      <w:r>
        <w:t>infracționale</w:t>
      </w:r>
      <w:proofErr w:type="spellEnd"/>
      <w:r>
        <w:t xml:space="preserve"> de tip call-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angajează</w:t>
      </w:r>
      <w:proofErr w:type="spellEnd"/>
      <w:r>
        <w:t xml:space="preserve">, de </w:t>
      </w:r>
      <w:proofErr w:type="spellStart"/>
      <w:r>
        <w:t>regulă</w:t>
      </w:r>
      <w:proofErr w:type="spellEnd"/>
      <w:r>
        <w:t xml:space="preserve">, un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— </w:t>
      </w:r>
      <w:proofErr w:type="spellStart"/>
      <w:r>
        <w:t>operatori</w:t>
      </w:r>
      <w:proofErr w:type="spellEnd"/>
      <w:r>
        <w:t xml:space="preserve">, </w:t>
      </w:r>
      <w:proofErr w:type="spellStart"/>
      <w:r>
        <w:t>manageri</w:t>
      </w:r>
      <w:proofErr w:type="spellEnd"/>
      <w:r>
        <w:t xml:space="preserve">, personal </w:t>
      </w:r>
      <w:proofErr w:type="spellStart"/>
      <w:r>
        <w:t>tehnic</w:t>
      </w:r>
      <w:proofErr w:type="spellEnd"/>
      <w:r>
        <w:t xml:space="preserve"> —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unele</w:t>
      </w:r>
      <w:proofErr w:type="spellEnd"/>
      <w:r>
        <w:t xml:space="preserve"> pot fi </w:t>
      </w:r>
      <w:proofErr w:type="spellStart"/>
      <w:r>
        <w:t>dispuse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,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nu au </w:t>
      </w:r>
      <w:proofErr w:type="spellStart"/>
      <w:r>
        <w:t>stimulente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denunța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infracțională</w:t>
      </w:r>
      <w:proofErr w:type="spellEnd"/>
      <w:r>
        <w:t xml:space="preserve">. </w:t>
      </w:r>
    </w:p>
    <w:p w14:paraId="0D21B33A" w14:textId="77777777" w:rsidR="00BA0B77" w:rsidRDefault="00000000">
      <w:pPr>
        <w:spacing w:after="251" w:line="259" w:lineRule="auto"/>
        <w:ind w:left="911" w:hanging="10"/>
        <w:jc w:val="left"/>
      </w:pPr>
      <w:r>
        <w:rPr>
          <w:b/>
        </w:rPr>
        <w:t xml:space="preserve">Se </w:t>
      </w:r>
      <w:proofErr w:type="spellStart"/>
      <w:r>
        <w:rPr>
          <w:b/>
        </w:rPr>
        <w:t>propune</w:t>
      </w:r>
      <w:proofErr w:type="spellEnd"/>
      <w:r>
        <w:rPr>
          <w:b/>
        </w:rPr>
        <w:t>:</w:t>
      </w:r>
      <w:r>
        <w:t xml:space="preserve"> </w:t>
      </w:r>
    </w:p>
    <w:p w14:paraId="60E56B8B" w14:textId="77777777" w:rsidR="00BA0B77" w:rsidRDefault="00000000">
      <w:pPr>
        <w:numPr>
          <w:ilvl w:val="0"/>
          <w:numId w:val="10"/>
        </w:numPr>
        <w:spacing w:after="28"/>
        <w:ind w:right="67" w:hanging="285"/>
      </w:pPr>
      <w:r>
        <w:t xml:space="preserve">a) </w:t>
      </w:r>
      <w:proofErr w:type="spellStart"/>
      <w:r>
        <w:t>Extinderea</w:t>
      </w:r>
      <w:proofErr w:type="spellEnd"/>
      <w:r>
        <w:t xml:space="preserve"> </w:t>
      </w:r>
      <w:proofErr w:type="spellStart"/>
      <w:r>
        <w:t>sferei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122/2018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avertizorii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acoperi</w:t>
      </w:r>
      <w:proofErr w:type="spellEnd"/>
      <w:r>
        <w:t xml:space="preserve"> explicit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denunță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infracțională</w:t>
      </w:r>
      <w:proofErr w:type="spellEnd"/>
      <w:r>
        <w:t xml:space="preserve"> a </w:t>
      </w:r>
      <w:proofErr w:type="spellStart"/>
      <w:r>
        <w:t>entităților</w:t>
      </w:r>
      <w:proofErr w:type="spellEnd"/>
      <w:r>
        <w:t xml:space="preserve"> de tip call-</w:t>
      </w:r>
      <w:proofErr w:type="spellStart"/>
      <w:r>
        <w:t>centru</w:t>
      </w:r>
      <w:proofErr w:type="spellEnd"/>
      <w:r>
        <w:t xml:space="preserve">, </w:t>
      </w:r>
      <w:proofErr w:type="spellStart"/>
      <w:r>
        <w:t>platforme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fraude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; </w:t>
      </w:r>
    </w:p>
    <w:p w14:paraId="5C5BAB88" w14:textId="77777777" w:rsidR="00BA0B77" w:rsidRDefault="00000000">
      <w:pPr>
        <w:numPr>
          <w:ilvl w:val="0"/>
          <w:numId w:val="10"/>
        </w:numPr>
        <w:spacing w:after="28"/>
        <w:ind w:right="67" w:hanging="285"/>
      </w:pPr>
      <w:r>
        <w:t xml:space="preserve">b)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posibilității</w:t>
      </w:r>
      <w:proofErr w:type="spellEnd"/>
      <w:r>
        <w:t xml:space="preserve"> de </w:t>
      </w:r>
      <w:proofErr w:type="spellStart"/>
      <w:r>
        <w:t>reducere</w:t>
      </w:r>
      <w:proofErr w:type="spellEnd"/>
      <w:r>
        <w:t xml:space="preserve"> </w:t>
      </w:r>
      <w:proofErr w:type="spellStart"/>
      <w:r>
        <w:t>substanțială</w:t>
      </w:r>
      <w:proofErr w:type="spellEnd"/>
      <w:r>
        <w:t xml:space="preserve"> a </w:t>
      </w:r>
      <w:proofErr w:type="spellStart"/>
      <w:r>
        <w:t>pedepsei</w:t>
      </w:r>
      <w:proofErr w:type="spellEnd"/>
      <w:r>
        <w:t xml:space="preserve"> (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exonerare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cooperării</w:t>
      </w:r>
      <w:proofErr w:type="spellEnd"/>
      <w:r>
        <w:t xml:space="preserve"> </w:t>
      </w:r>
      <w:proofErr w:type="spellStart"/>
      <w:r>
        <w:t>depline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angajații</w:t>
      </w:r>
      <w:proofErr w:type="spellEnd"/>
      <w:r>
        <w:t xml:space="preserve"> call-</w:t>
      </w:r>
      <w:proofErr w:type="spellStart"/>
      <w:r>
        <w:t>centrelor</w:t>
      </w:r>
      <w:proofErr w:type="spellEnd"/>
      <w:r>
        <w:t xml:space="preserve"> care,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inițierea</w:t>
      </w:r>
      <w:proofErr w:type="spellEnd"/>
      <w:r>
        <w:t xml:space="preserve"> </w:t>
      </w:r>
      <w:proofErr w:type="spellStart"/>
      <w:r>
        <w:lastRenderedPageBreak/>
        <w:t>urmăririi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incipientă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determinante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organizatorilor</w:t>
      </w:r>
      <w:proofErr w:type="spellEnd"/>
      <w:r>
        <w:t xml:space="preserve">,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; </w:t>
      </w:r>
    </w:p>
    <w:p w14:paraId="43D059CC" w14:textId="77777777" w:rsidR="00BA0B77" w:rsidRDefault="00000000">
      <w:pPr>
        <w:numPr>
          <w:ilvl w:val="0"/>
          <w:numId w:val="10"/>
        </w:numPr>
        <w:spacing w:after="203"/>
        <w:ind w:right="67" w:hanging="285"/>
      </w:pPr>
      <w:r>
        <w:t xml:space="preserve">c) </w:t>
      </w:r>
      <w:proofErr w:type="spellStart"/>
      <w:r>
        <w:t>Alocarea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 </w:t>
      </w:r>
      <w:proofErr w:type="spellStart"/>
      <w:r>
        <w:t>martorilor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transfrontaliere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. </w:t>
      </w:r>
    </w:p>
    <w:p w14:paraId="2B11B556" w14:textId="77777777" w:rsidR="00BA0B77" w:rsidRDefault="00000000">
      <w:pPr>
        <w:spacing w:after="233" w:line="259" w:lineRule="auto"/>
        <w:ind w:left="850" w:firstLine="0"/>
        <w:jc w:val="left"/>
      </w:pPr>
      <w:r>
        <w:t xml:space="preserve"> </w:t>
      </w:r>
    </w:p>
    <w:p w14:paraId="61666FFE" w14:textId="77777777" w:rsidR="00BA0B77" w:rsidRDefault="00000000">
      <w:pPr>
        <w:pStyle w:val="Heading2"/>
        <w:ind w:left="911"/>
      </w:pPr>
      <w:r>
        <w:t xml:space="preserve">11. </w:t>
      </w:r>
      <w:proofErr w:type="spellStart"/>
      <w:r>
        <w:t>Modificări</w:t>
      </w:r>
      <w:proofErr w:type="spellEnd"/>
      <w:r>
        <w:t xml:space="preserve"> legislative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rPr>
          <w:b w:val="0"/>
        </w:rPr>
        <w:t xml:space="preserve"> </w:t>
      </w:r>
    </w:p>
    <w:p w14:paraId="31E3559D" w14:textId="77777777" w:rsidR="00BA0B77" w:rsidRDefault="00000000">
      <w:pPr>
        <w:spacing w:line="358" w:lineRule="auto"/>
        <w:ind w:left="835" w:right="67"/>
      </w:pPr>
      <w:proofErr w:type="spellStart"/>
      <w:r>
        <w:t>Implementarea</w:t>
      </w:r>
      <w:proofErr w:type="spellEnd"/>
      <w:r>
        <w:t xml:space="preserve"> </w:t>
      </w:r>
      <w:proofErr w:type="spellStart"/>
      <w:r>
        <w:t>propunerilor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normative: </w:t>
      </w:r>
    </w:p>
    <w:p w14:paraId="795848EA" w14:textId="77777777" w:rsidR="00BA0B77" w:rsidRDefault="00000000">
      <w:pPr>
        <w:spacing w:after="0" w:line="259" w:lineRule="auto"/>
        <w:ind w:left="916" w:firstLine="0"/>
        <w:jc w:val="left"/>
      </w:pPr>
      <w:r>
        <w:t xml:space="preserve"> </w:t>
      </w:r>
    </w:p>
    <w:tbl>
      <w:tblPr>
        <w:tblStyle w:val="TableGrid"/>
        <w:tblW w:w="8849" w:type="dxa"/>
        <w:tblInd w:w="850" w:type="dxa"/>
        <w:tblCellMar>
          <w:top w:w="43" w:type="dxa"/>
          <w:left w:w="981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262"/>
        <w:gridCol w:w="5587"/>
      </w:tblGrid>
      <w:tr w:rsidR="00BA0B77" w14:paraId="2A02F809" w14:textId="77777777">
        <w:trPr>
          <w:trHeight w:val="54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33E4" w14:textId="77777777" w:rsidR="00BA0B77" w:rsidRDefault="00000000">
            <w:pPr>
              <w:spacing w:after="0" w:line="259" w:lineRule="auto"/>
              <w:ind w:left="0" w:right="167" w:firstLine="0"/>
              <w:jc w:val="right"/>
            </w:pPr>
            <w:proofErr w:type="spellStart"/>
            <w:r>
              <w:rPr>
                <w:b/>
              </w:rPr>
              <w:t>Actul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normativ</w:t>
            </w:r>
            <w:proofErr w:type="spellEnd"/>
            <w:r>
              <w:t xml:space="preserve">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8779" w14:textId="77777777" w:rsidR="00BA0B77" w:rsidRDefault="00000000">
            <w:pPr>
              <w:spacing w:after="0" w:line="259" w:lineRule="auto"/>
              <w:ind w:left="980" w:firstLine="0"/>
              <w:jc w:val="left"/>
            </w:pPr>
            <w:proofErr w:type="spellStart"/>
            <w:r>
              <w:rPr>
                <w:b/>
              </w:rPr>
              <w:t>Modificarea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t xml:space="preserve"> </w:t>
            </w:r>
          </w:p>
        </w:tc>
      </w:tr>
      <w:tr w:rsidR="00BA0B77" w14:paraId="391D548D" w14:textId="77777777">
        <w:trPr>
          <w:trHeight w:val="299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B42" w14:textId="77777777" w:rsidR="00BA0B77" w:rsidRDefault="00000000">
            <w:pPr>
              <w:spacing w:after="113" w:line="259" w:lineRule="auto"/>
              <w:ind w:left="246" w:firstLine="0"/>
              <w:jc w:val="left"/>
            </w:pPr>
            <w:proofErr w:type="spellStart"/>
            <w:r>
              <w:t>Codul</w:t>
            </w:r>
            <w:proofErr w:type="spellEnd"/>
            <w:r>
              <w:t xml:space="preserve"> penal (nr. </w:t>
            </w:r>
          </w:p>
          <w:p w14:paraId="403E0296" w14:textId="77777777" w:rsidR="00BA0B77" w:rsidRDefault="00000000">
            <w:pPr>
              <w:spacing w:after="0" w:line="259" w:lineRule="auto"/>
              <w:ind w:left="491" w:firstLine="0"/>
              <w:jc w:val="left"/>
            </w:pPr>
            <w:r>
              <w:t xml:space="preserve">985/2002)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05A4" w14:textId="77777777" w:rsidR="00BA0B77" w:rsidRDefault="00000000">
            <w:pPr>
              <w:spacing w:after="0" w:line="358" w:lineRule="auto"/>
              <w:ind w:left="505" w:hanging="240"/>
              <w:jc w:val="left"/>
            </w:pPr>
            <w:r>
              <w:t xml:space="preserve">Art. 190 — </w:t>
            </w:r>
            <w:proofErr w:type="spellStart"/>
            <w:r>
              <w:t>adăugarea</w:t>
            </w:r>
            <w:proofErr w:type="spellEnd"/>
            <w:r>
              <w:t xml:space="preserve"> </w:t>
            </w:r>
            <w:proofErr w:type="spellStart"/>
            <w:r>
              <w:t>circumstanțelor</w:t>
            </w:r>
            <w:proofErr w:type="spellEnd"/>
            <w:r>
              <w:t xml:space="preserve"> </w:t>
            </w:r>
            <w:proofErr w:type="spellStart"/>
            <w:r>
              <w:t>agravante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multi-brand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comunicații</w:t>
            </w:r>
            <w:proofErr w:type="spellEnd"/>
            <w:r>
              <w:t xml:space="preserve"> </w:t>
            </w:r>
            <w:proofErr w:type="spellStart"/>
            <w:r>
              <w:t>electronice</w:t>
            </w:r>
            <w:proofErr w:type="spellEnd"/>
            <w:r>
              <w:t xml:space="preserve"> </w:t>
            </w:r>
          </w:p>
          <w:p w14:paraId="6A43338D" w14:textId="77777777" w:rsidR="00BA0B77" w:rsidRDefault="00000000">
            <w:pPr>
              <w:spacing w:after="108" w:line="259" w:lineRule="auto"/>
              <w:ind w:left="0" w:right="69" w:firstLine="0"/>
              <w:jc w:val="right"/>
            </w:pPr>
            <w:r>
              <w:t xml:space="preserve">Art. </w:t>
            </w:r>
            <w:proofErr w:type="spellStart"/>
            <w:r>
              <w:t>nou</w:t>
            </w:r>
            <w:proofErr w:type="spellEnd"/>
            <w:r>
              <w:t xml:space="preserve"> 243¹ — </w:t>
            </w:r>
            <w:proofErr w:type="spellStart"/>
            <w:r>
              <w:t>facilitarea</w:t>
            </w:r>
            <w:proofErr w:type="spellEnd"/>
            <w:r>
              <w:t xml:space="preserve"> </w:t>
            </w:r>
            <w:proofErr w:type="spellStart"/>
            <w:r>
              <w:t>transferului</w:t>
            </w:r>
            <w:proofErr w:type="spellEnd"/>
            <w:r>
              <w:t xml:space="preserve"> de </w:t>
            </w:r>
          </w:p>
          <w:p w14:paraId="2F1D934C" w14:textId="77777777" w:rsidR="00BA0B77" w:rsidRDefault="00000000">
            <w:pPr>
              <w:spacing w:after="113" w:line="259" w:lineRule="auto"/>
              <w:ind w:left="690" w:firstLine="0"/>
              <w:jc w:val="left"/>
            </w:pPr>
            <w:proofErr w:type="spellStart"/>
            <w:r>
              <w:t>fonduri</w:t>
            </w:r>
            <w:proofErr w:type="spellEnd"/>
            <w:r>
              <w:t xml:space="preserve"> </w:t>
            </w:r>
            <w:proofErr w:type="spellStart"/>
            <w:r>
              <w:t>ilicite</w:t>
            </w:r>
            <w:proofErr w:type="spellEnd"/>
            <w:r>
              <w:t xml:space="preserve"> (money mules) </w:t>
            </w:r>
          </w:p>
          <w:p w14:paraId="1CA893BE" w14:textId="77777777" w:rsidR="00BA0B77" w:rsidRDefault="00000000">
            <w:pPr>
              <w:spacing w:after="113" w:line="259" w:lineRule="auto"/>
              <w:ind w:left="0" w:right="57" w:firstLine="0"/>
              <w:jc w:val="right"/>
            </w:pPr>
            <w:r>
              <w:t xml:space="preserve">Art. 259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articol</w:t>
            </w:r>
            <w:proofErr w:type="spellEnd"/>
            <w:r>
              <w:t xml:space="preserve"> </w:t>
            </w:r>
            <w:proofErr w:type="spellStart"/>
            <w:r>
              <w:t>nou</w:t>
            </w:r>
            <w:proofErr w:type="spellEnd"/>
            <w:r>
              <w:t xml:space="preserve"> — </w:t>
            </w:r>
            <w:proofErr w:type="spellStart"/>
            <w:r>
              <w:t>comercializarea</w:t>
            </w:r>
            <w:proofErr w:type="spellEnd"/>
            <w:r>
              <w:t xml:space="preserve"> </w:t>
            </w:r>
          </w:p>
          <w:p w14:paraId="0A389E4B" w14:textId="77777777" w:rsidR="00BA0B77" w:rsidRDefault="00000000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t>datelor</w:t>
            </w:r>
            <w:proofErr w:type="spellEnd"/>
            <w:r>
              <w:t xml:space="preserve"> </w:t>
            </w:r>
            <w:proofErr w:type="spellStart"/>
            <w:r>
              <w:t>victimelor</w:t>
            </w:r>
            <w:proofErr w:type="spellEnd"/>
            <w:r>
              <w:t xml:space="preserve"> </w:t>
            </w:r>
          </w:p>
        </w:tc>
      </w:tr>
      <w:tr w:rsidR="00BA0B77" w14:paraId="5A942508" w14:textId="77777777">
        <w:trPr>
          <w:trHeight w:val="135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6CA1" w14:textId="77777777" w:rsidR="00BA0B77" w:rsidRDefault="00000000">
            <w:pPr>
              <w:spacing w:after="0" w:line="358" w:lineRule="auto"/>
              <w:ind w:left="501" w:hanging="436"/>
              <w:jc w:val="left"/>
            </w:pPr>
            <w:proofErr w:type="spellStart"/>
            <w:r>
              <w:t>Codul</w:t>
            </w:r>
            <w:proofErr w:type="spellEnd"/>
            <w:r>
              <w:t xml:space="preserve"> de </w:t>
            </w:r>
            <w:proofErr w:type="spellStart"/>
            <w:r>
              <w:t>procedură</w:t>
            </w:r>
            <w:proofErr w:type="spellEnd"/>
            <w:r>
              <w:t xml:space="preserve"> </w:t>
            </w:r>
            <w:proofErr w:type="spellStart"/>
            <w:r>
              <w:t>penală</w:t>
            </w:r>
            <w:proofErr w:type="spellEnd"/>
            <w:r>
              <w:t xml:space="preserve"> (nr. </w:t>
            </w:r>
          </w:p>
          <w:p w14:paraId="29F13A4D" w14:textId="77777777" w:rsidR="00BA0B77" w:rsidRDefault="00000000">
            <w:pPr>
              <w:spacing w:after="0" w:line="259" w:lineRule="auto"/>
              <w:ind w:left="511" w:firstLine="0"/>
              <w:jc w:val="left"/>
            </w:pPr>
            <w:r>
              <w:t xml:space="preserve">122/2003)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5F56" w14:textId="77777777" w:rsidR="00BA0B77" w:rsidRDefault="00000000">
            <w:pPr>
              <w:spacing w:after="0" w:line="259" w:lineRule="auto"/>
              <w:ind w:left="110" w:right="172" w:firstLine="320"/>
            </w:pPr>
            <w:r>
              <w:t xml:space="preserve">Capitol </w:t>
            </w:r>
            <w:proofErr w:type="spellStart"/>
            <w:r>
              <w:t>nou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sechestrarea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confiscarea</w:t>
            </w:r>
            <w:proofErr w:type="spellEnd"/>
            <w:r>
              <w:t xml:space="preserve"> </w:t>
            </w:r>
            <w:proofErr w:type="spellStart"/>
            <w:r>
              <w:t>activelor</w:t>
            </w:r>
            <w:proofErr w:type="spellEnd"/>
            <w:r>
              <w:t xml:space="preserve"> </w:t>
            </w:r>
            <w:proofErr w:type="spellStart"/>
            <w:r>
              <w:t>virtuale</w:t>
            </w:r>
            <w:proofErr w:type="spellEnd"/>
            <w:r>
              <w:t xml:space="preserve">, </w:t>
            </w:r>
            <w:proofErr w:type="spellStart"/>
            <w:r>
              <w:t>procedura</w:t>
            </w:r>
            <w:proofErr w:type="spellEnd"/>
            <w:r>
              <w:t xml:space="preserve"> de </w:t>
            </w:r>
            <w:proofErr w:type="spellStart"/>
            <w:r>
              <w:t>conservare</w:t>
            </w:r>
            <w:proofErr w:type="spellEnd"/>
            <w:r>
              <w:t xml:space="preserve"> a </w:t>
            </w:r>
            <w:proofErr w:type="spellStart"/>
            <w:r>
              <w:t>probelor</w:t>
            </w:r>
            <w:proofErr w:type="spellEnd"/>
            <w:r>
              <w:t xml:space="preserve"> pe blockchain </w:t>
            </w:r>
          </w:p>
        </w:tc>
      </w:tr>
      <w:tr w:rsidR="00BA0B77" w14:paraId="65756D05" w14:textId="77777777">
        <w:trPr>
          <w:trHeight w:val="136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85FE" w14:textId="77777777" w:rsidR="00BA0B77" w:rsidRDefault="00000000">
            <w:pPr>
              <w:spacing w:after="0" w:line="358" w:lineRule="auto"/>
              <w:ind w:left="341" w:hanging="251"/>
              <w:jc w:val="left"/>
            </w:pPr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piața</w:t>
            </w:r>
            <w:proofErr w:type="spellEnd"/>
            <w:r>
              <w:t xml:space="preserve"> de capital (nr. </w:t>
            </w:r>
          </w:p>
          <w:p w14:paraId="1EEA0BD6" w14:textId="77777777" w:rsidR="00BA0B77" w:rsidRDefault="00000000">
            <w:pPr>
              <w:spacing w:after="0" w:line="259" w:lineRule="auto"/>
              <w:ind w:left="551" w:firstLine="0"/>
              <w:jc w:val="left"/>
            </w:pPr>
            <w:r>
              <w:t xml:space="preserve">171/2012)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AD1" w14:textId="77777777" w:rsidR="00BA0B77" w:rsidRDefault="00000000">
            <w:pPr>
              <w:spacing w:after="0" w:line="259" w:lineRule="auto"/>
              <w:ind w:left="435" w:right="454" w:firstLine="25"/>
            </w:pPr>
            <w:r>
              <w:t xml:space="preserve">Capitol </w:t>
            </w:r>
            <w:proofErr w:type="spellStart"/>
            <w:r>
              <w:t>nou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intermedierea</w:t>
            </w:r>
            <w:proofErr w:type="spellEnd"/>
            <w:r>
              <w:t xml:space="preserve"> </w:t>
            </w:r>
            <w:proofErr w:type="spellStart"/>
            <w:r>
              <w:t>publicitară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serviciilor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, </w:t>
            </w:r>
            <w:proofErr w:type="spellStart"/>
            <w:r>
              <w:t>licențierea</w:t>
            </w:r>
            <w:proofErr w:type="spellEnd"/>
            <w:r>
              <w:t xml:space="preserve"> </w:t>
            </w:r>
            <w:proofErr w:type="spellStart"/>
            <w:r>
              <w:t>afiliaților</w:t>
            </w:r>
            <w:proofErr w:type="spellEnd"/>
            <w:r>
              <w:t xml:space="preserve"> </w:t>
            </w:r>
          </w:p>
        </w:tc>
      </w:tr>
      <w:tr w:rsidR="00BA0B77" w14:paraId="6B474376" w14:textId="77777777">
        <w:trPr>
          <w:trHeight w:val="135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4263" w14:textId="77777777" w:rsidR="00BA0B77" w:rsidRDefault="00000000">
            <w:pPr>
              <w:spacing w:after="5" w:line="353" w:lineRule="auto"/>
              <w:ind w:left="155" w:firstLine="231"/>
              <w:jc w:val="left"/>
            </w:pPr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serviciile</w:t>
            </w:r>
            <w:proofErr w:type="spellEnd"/>
            <w:r>
              <w:t xml:space="preserve"> de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</w:p>
          <w:p w14:paraId="23D3CD8C" w14:textId="77777777" w:rsidR="00BA0B77" w:rsidRDefault="00000000">
            <w:pPr>
              <w:spacing w:after="0" w:line="259" w:lineRule="auto"/>
              <w:ind w:left="321" w:firstLine="0"/>
              <w:jc w:val="left"/>
            </w:pPr>
            <w:r>
              <w:t>(</w:t>
            </w:r>
            <w:proofErr w:type="gramStart"/>
            <w:r>
              <w:t>nr</w:t>
            </w:r>
            <w:proofErr w:type="gramEnd"/>
            <w:r>
              <w:t xml:space="preserve">. 114/2012)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37D3" w14:textId="77777777" w:rsidR="00BA0B77" w:rsidRDefault="00000000">
            <w:pPr>
              <w:spacing w:after="0" w:line="259" w:lineRule="auto"/>
              <w:ind w:left="190" w:hanging="25"/>
              <w:jc w:val="left"/>
            </w:pPr>
            <w:proofErr w:type="spellStart"/>
            <w:r>
              <w:t>Articol</w:t>
            </w:r>
            <w:proofErr w:type="spellEnd"/>
            <w:r>
              <w:t xml:space="preserve"> </w:t>
            </w:r>
            <w:proofErr w:type="spellStart"/>
            <w:r>
              <w:t>nou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obligatorie</w:t>
            </w:r>
            <w:proofErr w:type="spellEnd"/>
            <w:r>
              <w:t xml:space="preserve"> de </w:t>
            </w:r>
            <w:proofErr w:type="spellStart"/>
            <w:r>
              <w:t>reflecție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transferurile</w:t>
            </w:r>
            <w:proofErr w:type="spellEnd"/>
            <w:r>
              <w:t xml:space="preserve"> </w:t>
            </w:r>
            <w:proofErr w:type="spellStart"/>
            <w:r>
              <w:t>atipice</w:t>
            </w:r>
            <w:proofErr w:type="spellEnd"/>
            <w:r>
              <w:t xml:space="preserve"> </w:t>
            </w:r>
          </w:p>
        </w:tc>
      </w:tr>
      <w:tr w:rsidR="00BA0B77" w14:paraId="73C563E9" w14:textId="77777777">
        <w:trPr>
          <w:trHeight w:val="176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ED58" w14:textId="77777777" w:rsidR="00BA0B77" w:rsidRDefault="00000000">
            <w:pPr>
              <w:spacing w:after="0" w:line="358" w:lineRule="auto"/>
              <w:ind w:left="85" w:firstLine="301"/>
              <w:jc w:val="left"/>
            </w:pPr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spălării</w:t>
            </w:r>
            <w:proofErr w:type="spellEnd"/>
            <w:r>
              <w:t xml:space="preserve"> </w:t>
            </w:r>
            <w:proofErr w:type="spellStart"/>
            <w:r>
              <w:t>banilor</w:t>
            </w:r>
            <w:proofErr w:type="spellEnd"/>
            <w:r>
              <w:t xml:space="preserve"> (nr. </w:t>
            </w:r>
          </w:p>
          <w:p w14:paraId="53E51CF6" w14:textId="77777777" w:rsidR="00BA0B77" w:rsidRDefault="00000000">
            <w:pPr>
              <w:spacing w:after="0" w:line="259" w:lineRule="auto"/>
              <w:ind w:left="511" w:firstLine="0"/>
              <w:jc w:val="left"/>
            </w:pPr>
            <w:r>
              <w:t xml:space="preserve">308/2017)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FAF6" w14:textId="77777777" w:rsidR="00BA0B77" w:rsidRDefault="00000000">
            <w:pPr>
              <w:spacing w:after="0" w:line="358" w:lineRule="auto"/>
              <w:ind w:left="250" w:firstLine="395"/>
            </w:pPr>
            <w:proofErr w:type="spellStart"/>
            <w:r>
              <w:t>Completare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raportarea</w:t>
            </w:r>
            <w:proofErr w:type="spellEnd"/>
            <w:r>
              <w:t xml:space="preserve"> </w:t>
            </w:r>
            <w:proofErr w:type="spellStart"/>
            <w:r>
              <w:t>operațiunilor</w:t>
            </w:r>
            <w:proofErr w:type="spellEnd"/>
            <w:r>
              <w:t xml:space="preserve"> multi-brand, </w:t>
            </w:r>
            <w:proofErr w:type="spellStart"/>
            <w:r>
              <w:t>praguri</w:t>
            </w:r>
            <w:proofErr w:type="spellEnd"/>
            <w:r>
              <w:t xml:space="preserve"> de </w:t>
            </w:r>
          </w:p>
          <w:p w14:paraId="496C70EE" w14:textId="77777777" w:rsidR="00BA0B77" w:rsidRDefault="00000000">
            <w:pPr>
              <w:spacing w:after="113" w:line="259" w:lineRule="auto"/>
              <w:ind w:left="275" w:firstLine="0"/>
              <w:jc w:val="left"/>
            </w:pPr>
            <w:proofErr w:type="spellStart"/>
            <w:r>
              <w:t>raportare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conturile</w:t>
            </w:r>
            <w:proofErr w:type="spellEnd"/>
            <w:r>
              <w:t xml:space="preserve"> de </w:t>
            </w:r>
            <w:proofErr w:type="spellStart"/>
            <w:r>
              <w:t>tranzit</w:t>
            </w:r>
            <w:proofErr w:type="spellEnd"/>
            <w:r>
              <w:t xml:space="preserve">, </w:t>
            </w:r>
          </w:p>
          <w:p w14:paraId="603531D3" w14:textId="77777777" w:rsidR="00BA0B77" w:rsidRDefault="0000000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t>obligații</w:t>
            </w:r>
            <w:proofErr w:type="spellEnd"/>
            <w:r>
              <w:t xml:space="preserve"> VASP </w:t>
            </w:r>
          </w:p>
        </w:tc>
      </w:tr>
      <w:tr w:rsidR="00BA0B77" w14:paraId="45302C3F" w14:textId="77777777">
        <w:trPr>
          <w:trHeight w:val="136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CFF0" w14:textId="77777777" w:rsidR="00BA0B77" w:rsidRDefault="00000000">
            <w:pPr>
              <w:spacing w:after="0" w:line="259" w:lineRule="auto"/>
              <w:ind w:left="381" w:firstLine="5"/>
              <w:jc w:val="left"/>
            </w:pPr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avertizorii</w:t>
            </w:r>
            <w:proofErr w:type="spellEnd"/>
            <w:r>
              <w:t xml:space="preserve"> de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126A" w14:textId="77777777" w:rsidR="00BA0B77" w:rsidRDefault="00000000">
            <w:pPr>
              <w:spacing w:after="0" w:line="358" w:lineRule="auto"/>
              <w:ind w:left="110" w:firstLine="265"/>
              <w:jc w:val="left"/>
            </w:pPr>
            <w:proofErr w:type="spellStart"/>
            <w:r>
              <w:t>Extinderea</w:t>
            </w:r>
            <w:proofErr w:type="spellEnd"/>
            <w:r>
              <w:t xml:space="preserve"> </w:t>
            </w:r>
            <w:proofErr w:type="spellStart"/>
            <w:r>
              <w:t>sferei</w:t>
            </w:r>
            <w:proofErr w:type="spellEnd"/>
            <w:r>
              <w:t xml:space="preserve"> de </w:t>
            </w:r>
            <w:proofErr w:type="spellStart"/>
            <w:r>
              <w:t>aplicare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denunțătorii</w:t>
            </w:r>
            <w:proofErr w:type="spellEnd"/>
            <w:r>
              <w:t xml:space="preserve"> din call-</w:t>
            </w:r>
            <w:proofErr w:type="spellStart"/>
            <w:r>
              <w:t>centre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platforme</w:t>
            </w:r>
            <w:proofErr w:type="spellEnd"/>
            <w:r>
              <w:t xml:space="preserve"> </w:t>
            </w:r>
          </w:p>
          <w:p w14:paraId="21333976" w14:textId="77777777" w:rsidR="00BA0B77" w:rsidRDefault="0000000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frauduloase</w:t>
            </w:r>
            <w:proofErr w:type="spellEnd"/>
            <w:r>
              <w:t xml:space="preserve"> </w:t>
            </w:r>
          </w:p>
        </w:tc>
      </w:tr>
      <w:tr w:rsidR="00BA0B77" w14:paraId="06467D92" w14:textId="77777777">
        <w:trPr>
          <w:trHeight w:val="95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88F" w14:textId="77777777" w:rsidR="00BA0B77" w:rsidRDefault="00000000">
            <w:pPr>
              <w:spacing w:after="113" w:line="259" w:lineRule="auto"/>
              <w:ind w:left="251" w:firstLine="0"/>
              <w:jc w:val="left"/>
            </w:pPr>
            <w:proofErr w:type="spellStart"/>
            <w:r>
              <w:lastRenderedPageBreak/>
              <w:t>integritate</w:t>
            </w:r>
            <w:proofErr w:type="spellEnd"/>
            <w:r>
              <w:t xml:space="preserve"> (nr. </w:t>
            </w:r>
          </w:p>
          <w:p w14:paraId="7B384076" w14:textId="77777777" w:rsidR="00BA0B77" w:rsidRDefault="00000000">
            <w:pPr>
              <w:spacing w:after="0" w:line="259" w:lineRule="auto"/>
              <w:ind w:left="481" w:firstLine="0"/>
              <w:jc w:val="left"/>
            </w:pPr>
            <w:r>
              <w:t xml:space="preserve">122/2018)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D8E4" w14:textId="77777777" w:rsidR="00BA0B77" w:rsidRDefault="00BA0B77">
            <w:pPr>
              <w:spacing w:after="160" w:line="259" w:lineRule="auto"/>
              <w:ind w:left="0" w:firstLine="0"/>
              <w:jc w:val="left"/>
            </w:pPr>
          </w:p>
        </w:tc>
      </w:tr>
      <w:tr w:rsidR="00BA0B77" w14:paraId="49B3B18D" w14:textId="77777777">
        <w:trPr>
          <w:trHeight w:val="176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FC3D" w14:textId="77777777" w:rsidR="00BA0B77" w:rsidRDefault="00000000">
            <w:pPr>
              <w:spacing w:after="0" w:line="358" w:lineRule="auto"/>
              <w:ind w:left="256" w:firstLine="500"/>
              <w:jc w:val="left"/>
            </w:pPr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comunicațiilor</w:t>
            </w:r>
            <w:proofErr w:type="spellEnd"/>
            <w:r>
              <w:t xml:space="preserve"> </w:t>
            </w:r>
          </w:p>
          <w:p w14:paraId="5318A4D3" w14:textId="77777777" w:rsidR="00BA0B77" w:rsidRDefault="00000000">
            <w:pPr>
              <w:spacing w:after="113" w:line="259" w:lineRule="auto"/>
              <w:ind w:left="226" w:firstLine="0"/>
              <w:jc w:val="left"/>
            </w:pPr>
            <w:proofErr w:type="spellStart"/>
            <w:r>
              <w:t>electronice</w:t>
            </w:r>
            <w:proofErr w:type="spellEnd"/>
            <w:r>
              <w:t xml:space="preserve"> (nr. </w:t>
            </w:r>
          </w:p>
          <w:p w14:paraId="7378055F" w14:textId="77777777" w:rsidR="00BA0B77" w:rsidRDefault="00000000">
            <w:pPr>
              <w:spacing w:after="0" w:line="259" w:lineRule="auto"/>
              <w:ind w:left="531" w:firstLine="0"/>
              <w:jc w:val="left"/>
            </w:pPr>
            <w:r>
              <w:t xml:space="preserve">72/2025)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FBBB" w14:textId="77777777" w:rsidR="00BA0B77" w:rsidRDefault="00000000">
            <w:pPr>
              <w:spacing w:after="0" w:line="358" w:lineRule="auto"/>
              <w:ind w:left="420" w:hanging="95"/>
              <w:jc w:val="left"/>
            </w:pPr>
            <w:proofErr w:type="spellStart"/>
            <w:r>
              <w:t>Completare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obligația</w:t>
            </w:r>
            <w:proofErr w:type="spellEnd"/>
            <w:r>
              <w:t xml:space="preserve"> ISP de </w:t>
            </w:r>
            <w:proofErr w:type="spellStart"/>
            <w:r>
              <w:t>implementare</w:t>
            </w:r>
            <w:proofErr w:type="spellEnd"/>
            <w:r>
              <w:t xml:space="preserve"> a </w:t>
            </w:r>
            <w:proofErr w:type="spellStart"/>
            <w:r>
              <w:t>mecanismelor</w:t>
            </w:r>
            <w:proofErr w:type="spellEnd"/>
            <w:r>
              <w:t xml:space="preserve"> de </w:t>
            </w:r>
          </w:p>
          <w:p w14:paraId="7C301643" w14:textId="77777777" w:rsidR="00BA0B77" w:rsidRDefault="00000000">
            <w:pPr>
              <w:spacing w:after="113" w:line="259" w:lineRule="auto"/>
              <w:ind w:left="0" w:right="59" w:firstLine="0"/>
              <w:jc w:val="right"/>
            </w:pPr>
            <w:proofErr w:type="spellStart"/>
            <w:r>
              <w:t>avertizare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domeniile</w:t>
            </w:r>
            <w:proofErr w:type="spellEnd"/>
            <w:r>
              <w:t xml:space="preserve"> din </w:t>
            </w:r>
            <w:proofErr w:type="spellStart"/>
            <w:r>
              <w:t>Registrul</w:t>
            </w:r>
            <w:proofErr w:type="spellEnd"/>
            <w:r>
              <w:t xml:space="preserve"> </w:t>
            </w:r>
          </w:p>
          <w:p w14:paraId="5BD306AB" w14:textId="77777777" w:rsidR="00BA0B77" w:rsidRDefault="00000000">
            <w:pPr>
              <w:spacing w:after="0" w:line="259" w:lineRule="auto"/>
              <w:ind w:left="830" w:firstLine="0"/>
              <w:jc w:val="left"/>
            </w:pPr>
            <w:proofErr w:type="spellStart"/>
            <w:r>
              <w:t>platformelor</w:t>
            </w:r>
            <w:proofErr w:type="spellEnd"/>
            <w:r>
              <w:t xml:space="preserve"> </w:t>
            </w:r>
            <w:proofErr w:type="spellStart"/>
            <w:r>
              <w:t>neautorizate</w:t>
            </w:r>
            <w:proofErr w:type="spellEnd"/>
            <w:r>
              <w:t xml:space="preserve"> </w:t>
            </w:r>
          </w:p>
        </w:tc>
      </w:tr>
    </w:tbl>
    <w:p w14:paraId="0DAF497D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18A2FD08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3FD1CD5C" w14:textId="77777777" w:rsidR="00BA0B77" w:rsidRDefault="00000000">
      <w:pPr>
        <w:spacing w:after="228" w:line="259" w:lineRule="auto"/>
        <w:ind w:left="905" w:firstLine="0"/>
        <w:jc w:val="center"/>
      </w:pPr>
      <w:r>
        <w:rPr>
          <w:b/>
        </w:rPr>
        <w:t xml:space="preserve"> </w:t>
      </w:r>
    </w:p>
    <w:p w14:paraId="6EC017C3" w14:textId="77777777" w:rsidR="00BA0B77" w:rsidRDefault="00000000">
      <w:pPr>
        <w:spacing w:after="233" w:line="259" w:lineRule="auto"/>
        <w:ind w:left="905" w:firstLine="0"/>
        <w:jc w:val="center"/>
      </w:pPr>
      <w:r>
        <w:rPr>
          <w:b/>
        </w:rPr>
        <w:t xml:space="preserve"> </w:t>
      </w:r>
    </w:p>
    <w:p w14:paraId="5A5C8FC5" w14:textId="77777777" w:rsidR="00BA0B77" w:rsidRDefault="00000000">
      <w:pPr>
        <w:spacing w:after="233" w:line="259" w:lineRule="auto"/>
        <w:ind w:left="840" w:firstLine="0"/>
        <w:jc w:val="center"/>
      </w:pPr>
      <w:r>
        <w:rPr>
          <w:b/>
        </w:rPr>
        <w:t xml:space="preserve">PUNCT FOCAL NAȚIONAL ANTI-FRAUDĂ </w:t>
      </w:r>
    </w:p>
    <w:p w14:paraId="2C046331" w14:textId="77777777" w:rsidR="00BA0B77" w:rsidRDefault="00000000">
      <w:pPr>
        <w:pStyle w:val="Heading2"/>
        <w:ind w:left="911"/>
      </w:pPr>
      <w:proofErr w:type="spellStart"/>
      <w:r>
        <w:t>Principalele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componența</w:t>
      </w:r>
      <w:proofErr w:type="spellEnd"/>
      <w:r>
        <w:t xml:space="preserve"> </w:t>
      </w:r>
    </w:p>
    <w:p w14:paraId="3F5E147C" w14:textId="77777777" w:rsidR="00BA0B77" w:rsidRDefault="00000000">
      <w:pPr>
        <w:numPr>
          <w:ilvl w:val="0"/>
          <w:numId w:val="11"/>
        </w:numPr>
        <w:spacing w:line="358" w:lineRule="auto"/>
        <w:ind w:right="67"/>
      </w:pPr>
      <w:proofErr w:type="spellStart"/>
      <w:r>
        <w:t>Crearea</w:t>
      </w:r>
      <w:proofErr w:type="spellEnd"/>
      <w:r>
        <w:t xml:space="preserve"> </w:t>
      </w:r>
      <w:proofErr w:type="spellStart"/>
      <w:r>
        <w:t>Punctului</w:t>
      </w:r>
      <w:proofErr w:type="spellEnd"/>
      <w:r>
        <w:t xml:space="preserve"> Focal </w:t>
      </w:r>
      <w:proofErr w:type="spellStart"/>
      <w:r>
        <w:t>Național</w:t>
      </w:r>
      <w:proofErr w:type="spellEnd"/>
      <w:r>
        <w:t xml:space="preserve"> Anti-</w:t>
      </w:r>
      <w:proofErr w:type="spellStart"/>
      <w:r>
        <w:t>Fraudă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funcționeze</w:t>
      </w:r>
      <w:proofErr w:type="spellEnd"/>
      <w:r>
        <w:t xml:space="preserve"> permanent,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online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real, ca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coordonare</w:t>
      </w:r>
      <w:proofErr w:type="spellEnd"/>
      <w:r>
        <w:t xml:space="preserve"> a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fraudelor</w:t>
      </w:r>
      <w:proofErr w:type="spellEnd"/>
      <w:r>
        <w:t xml:space="preserve"> </w:t>
      </w:r>
      <w:proofErr w:type="spellStart"/>
      <w:r>
        <w:t>telefonice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online. </w:t>
      </w:r>
    </w:p>
    <w:p w14:paraId="1744B00B" w14:textId="77777777" w:rsidR="00BA0B77" w:rsidRDefault="00000000">
      <w:pPr>
        <w:numPr>
          <w:ilvl w:val="0"/>
          <w:numId w:val="11"/>
        </w:numPr>
        <w:spacing w:after="245"/>
        <w:ind w:right="67"/>
      </w:pPr>
      <w:proofErr w:type="spellStart"/>
      <w:r>
        <w:t>Componența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: </w:t>
      </w:r>
    </w:p>
    <w:p w14:paraId="4122450D" w14:textId="77777777" w:rsidR="00BA0B77" w:rsidRDefault="00000000">
      <w:pPr>
        <w:numPr>
          <w:ilvl w:val="0"/>
          <w:numId w:val="12"/>
        </w:numPr>
        <w:spacing w:after="0" w:line="266" w:lineRule="auto"/>
        <w:ind w:right="67" w:hanging="706"/>
      </w:pP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 (MAI); </w:t>
      </w:r>
    </w:p>
    <w:p w14:paraId="5ABFE042" w14:textId="77777777" w:rsidR="00BA0B77" w:rsidRDefault="00000000">
      <w:pPr>
        <w:numPr>
          <w:ilvl w:val="0"/>
          <w:numId w:val="12"/>
        </w:numPr>
        <w:spacing w:after="0"/>
        <w:ind w:right="67" w:hanging="706"/>
      </w:pPr>
      <w:proofErr w:type="spellStart"/>
      <w:r>
        <w:t>Serviciul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Securitate (SIS); </w:t>
      </w:r>
    </w:p>
    <w:p w14:paraId="0E0B2A55" w14:textId="77777777" w:rsidR="00BA0B77" w:rsidRDefault="00000000">
      <w:pPr>
        <w:numPr>
          <w:ilvl w:val="0"/>
          <w:numId w:val="12"/>
        </w:numPr>
        <w:spacing w:after="0"/>
        <w:ind w:right="67" w:hanging="706"/>
      </w:pPr>
      <w:proofErr w:type="spellStart"/>
      <w:r>
        <w:t>Procuratura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PCCOCS; </w:t>
      </w:r>
    </w:p>
    <w:p w14:paraId="5D63B700" w14:textId="77777777" w:rsidR="00BA0B77" w:rsidRDefault="00000000">
      <w:pPr>
        <w:numPr>
          <w:ilvl w:val="0"/>
          <w:numId w:val="12"/>
        </w:numPr>
        <w:spacing w:after="0"/>
        <w:ind w:right="67" w:hanging="706"/>
      </w:pPr>
      <w:proofErr w:type="spellStart"/>
      <w:r>
        <w:t>Inspectoratul</w:t>
      </w:r>
      <w:proofErr w:type="spellEnd"/>
      <w:r>
        <w:t xml:space="preserve"> General al </w:t>
      </w:r>
      <w:proofErr w:type="spellStart"/>
      <w:r>
        <w:t>Poliției</w:t>
      </w:r>
      <w:proofErr w:type="spellEnd"/>
      <w:r>
        <w:t xml:space="preserve"> (IGP); </w:t>
      </w:r>
    </w:p>
    <w:p w14:paraId="557056B6" w14:textId="77777777" w:rsidR="00BA0B77" w:rsidRDefault="00000000">
      <w:pPr>
        <w:numPr>
          <w:ilvl w:val="0"/>
          <w:numId w:val="12"/>
        </w:numPr>
        <w:spacing w:after="0"/>
        <w:ind w:right="67" w:hanging="706"/>
      </w:pPr>
      <w:proofErr w:type="spellStart"/>
      <w:r>
        <w:t>Serviciul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Spălării</w:t>
      </w:r>
      <w:proofErr w:type="spellEnd"/>
      <w:r>
        <w:t xml:space="preserve"> </w:t>
      </w:r>
      <w:proofErr w:type="spellStart"/>
      <w:r>
        <w:t>Banilor</w:t>
      </w:r>
      <w:proofErr w:type="spellEnd"/>
      <w:r>
        <w:t xml:space="preserve"> (SPCSB); </w:t>
      </w:r>
    </w:p>
    <w:p w14:paraId="51BB6A8B" w14:textId="77777777" w:rsidR="00BA0B77" w:rsidRDefault="00000000">
      <w:pPr>
        <w:numPr>
          <w:ilvl w:val="0"/>
          <w:numId w:val="12"/>
        </w:numPr>
        <w:spacing w:after="0"/>
        <w:ind w:right="67" w:hanging="706"/>
      </w:pPr>
      <w:proofErr w:type="spellStart"/>
      <w:r>
        <w:t>Agenția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Securitate </w:t>
      </w:r>
      <w:proofErr w:type="spellStart"/>
      <w:r>
        <w:t>Cibernetică</w:t>
      </w:r>
      <w:proofErr w:type="spellEnd"/>
      <w:r>
        <w:t xml:space="preserve"> (ASC); </w:t>
      </w:r>
    </w:p>
    <w:p w14:paraId="1DF33BF4" w14:textId="77777777" w:rsidR="00BA0B77" w:rsidRDefault="00000000">
      <w:pPr>
        <w:numPr>
          <w:ilvl w:val="0"/>
          <w:numId w:val="12"/>
        </w:numPr>
        <w:spacing w:after="0"/>
        <w:ind w:right="67" w:hanging="706"/>
      </w:pPr>
      <w:r>
        <w:t xml:space="preserve">Banca </w:t>
      </w:r>
      <w:proofErr w:type="spellStart"/>
      <w:r>
        <w:t>Națională</w:t>
      </w:r>
      <w:proofErr w:type="spellEnd"/>
      <w:r>
        <w:t xml:space="preserve"> a </w:t>
      </w:r>
      <w:proofErr w:type="spellStart"/>
      <w:r>
        <w:t>Moldovei</w:t>
      </w:r>
      <w:proofErr w:type="spellEnd"/>
      <w:r>
        <w:t xml:space="preserve"> (BNM); </w:t>
      </w:r>
    </w:p>
    <w:p w14:paraId="174FB0DF" w14:textId="77777777" w:rsidR="00BA0B77" w:rsidRDefault="00000000">
      <w:pPr>
        <w:numPr>
          <w:ilvl w:val="0"/>
          <w:numId w:val="12"/>
        </w:numPr>
        <w:spacing w:after="0"/>
        <w:ind w:right="67" w:hanging="706"/>
      </w:pPr>
      <w:proofErr w:type="spellStart"/>
      <w:r>
        <w:t>instituțiile</w:t>
      </w:r>
      <w:proofErr w:type="spellEnd"/>
      <w:r>
        <w:t xml:space="preserve"> </w:t>
      </w:r>
      <w:proofErr w:type="spellStart"/>
      <w:r>
        <w:t>financiar-bancare</w:t>
      </w:r>
      <w:proofErr w:type="spellEnd"/>
      <w:r>
        <w:t xml:space="preserve">; </w:t>
      </w:r>
    </w:p>
    <w:p w14:paraId="67411B73" w14:textId="77777777" w:rsidR="00BA0B77" w:rsidRDefault="00000000">
      <w:pPr>
        <w:numPr>
          <w:ilvl w:val="0"/>
          <w:numId w:val="12"/>
        </w:numPr>
        <w:spacing w:after="0"/>
        <w:ind w:right="67" w:hanging="706"/>
      </w:pPr>
      <w:proofErr w:type="spellStart"/>
      <w:r>
        <w:t>operatorii</w:t>
      </w:r>
      <w:proofErr w:type="spellEnd"/>
      <w:r>
        <w:t xml:space="preserve"> de </w:t>
      </w:r>
      <w:proofErr w:type="spellStart"/>
      <w:r>
        <w:t>telefonie</w:t>
      </w:r>
      <w:proofErr w:type="spellEnd"/>
      <w:r>
        <w:t xml:space="preserve"> </w:t>
      </w:r>
      <w:proofErr w:type="spellStart"/>
      <w:r>
        <w:t>mobilă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internet; </w:t>
      </w:r>
    </w:p>
    <w:p w14:paraId="47C6ECB5" w14:textId="77777777" w:rsidR="00BA0B77" w:rsidRDefault="00000000">
      <w:pPr>
        <w:numPr>
          <w:ilvl w:val="0"/>
          <w:numId w:val="12"/>
        </w:numPr>
        <w:spacing w:after="37"/>
        <w:ind w:right="67" w:hanging="706"/>
      </w:pPr>
      <w:proofErr w:type="spellStart"/>
      <w:r>
        <w:t>Agenția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Comunicații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Tehnologia</w:t>
      </w:r>
      <w:proofErr w:type="spellEnd"/>
      <w:r>
        <w:t xml:space="preserve"> </w:t>
      </w:r>
      <w:proofErr w:type="spellStart"/>
      <w:r>
        <w:t>Informației</w:t>
      </w:r>
      <w:proofErr w:type="spellEnd"/>
      <w:r>
        <w:t xml:space="preserve"> (ANRCETI); </w:t>
      </w:r>
    </w:p>
    <w:p w14:paraId="3573C51B" w14:textId="77777777" w:rsidR="00BA0B77" w:rsidRDefault="00000000">
      <w:pPr>
        <w:numPr>
          <w:ilvl w:val="0"/>
          <w:numId w:val="12"/>
        </w:numPr>
        <w:spacing w:after="169"/>
        <w:ind w:right="67" w:hanging="706"/>
      </w:pPr>
      <w:proofErr w:type="spellStart"/>
      <w:r>
        <w:t>alte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necesități</w:t>
      </w:r>
      <w:proofErr w:type="spellEnd"/>
      <w:r>
        <w:t xml:space="preserve">. </w:t>
      </w:r>
    </w:p>
    <w:p w14:paraId="355D5F1F" w14:textId="77777777" w:rsidR="00BA0B77" w:rsidRDefault="00000000">
      <w:pPr>
        <w:spacing w:after="233" w:line="259" w:lineRule="auto"/>
        <w:ind w:left="916" w:firstLine="0"/>
        <w:jc w:val="left"/>
      </w:pPr>
      <w:r>
        <w:t xml:space="preserve"> </w:t>
      </w:r>
    </w:p>
    <w:p w14:paraId="5A16F895" w14:textId="77777777" w:rsidR="00BA0B77" w:rsidRDefault="00000000">
      <w:pPr>
        <w:numPr>
          <w:ilvl w:val="0"/>
          <w:numId w:val="13"/>
        </w:numPr>
        <w:spacing w:line="358" w:lineRule="auto"/>
        <w:ind w:right="67"/>
      </w:pPr>
      <w:proofErr w:type="spellStart"/>
      <w:r>
        <w:t>Coordonarea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real a </w:t>
      </w:r>
      <w:proofErr w:type="spellStart"/>
      <w:r>
        <w:t>schimbului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tentativele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, </w:t>
      </w:r>
      <w:proofErr w:type="spellStart"/>
      <w:r>
        <w:t>conturile</w:t>
      </w:r>
      <w:proofErr w:type="spellEnd"/>
      <w:r>
        <w:t xml:space="preserve"> </w:t>
      </w:r>
      <w:proofErr w:type="spellStart"/>
      <w:r>
        <w:t>suspecte</w:t>
      </w:r>
      <w:proofErr w:type="spellEnd"/>
      <w:r>
        <w:t xml:space="preserve">, </w:t>
      </w:r>
      <w:proofErr w:type="spellStart"/>
      <w:r>
        <w:t>cartelele</w:t>
      </w:r>
      <w:proofErr w:type="spellEnd"/>
      <w:r>
        <w:t xml:space="preserve"> SIM, </w:t>
      </w:r>
      <w:proofErr w:type="spellStart"/>
      <w:r>
        <w:t>numerele</w:t>
      </w:r>
      <w:proofErr w:type="spellEnd"/>
      <w:r>
        <w:t xml:space="preserve"> </w:t>
      </w:r>
      <w:proofErr w:type="spellStart"/>
      <w:r>
        <w:t>telefonice</w:t>
      </w:r>
      <w:proofErr w:type="spellEnd"/>
      <w:r>
        <w:t xml:space="preserve">, </w:t>
      </w:r>
      <w:proofErr w:type="spellStart"/>
      <w:r>
        <w:t>infrastructura</w:t>
      </w:r>
      <w:proofErr w:type="spellEnd"/>
      <w:r>
        <w:t xml:space="preserve"> </w:t>
      </w:r>
      <w:proofErr w:type="spellStart"/>
      <w:r>
        <w:t>digitală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fluxurile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. </w:t>
      </w:r>
    </w:p>
    <w:p w14:paraId="3E4B618B" w14:textId="77777777" w:rsidR="00BA0B77" w:rsidRDefault="00000000">
      <w:pPr>
        <w:spacing w:after="0" w:line="259" w:lineRule="auto"/>
        <w:ind w:left="916" w:firstLine="0"/>
        <w:jc w:val="left"/>
      </w:pPr>
      <w:r>
        <w:t xml:space="preserve"> </w:t>
      </w:r>
    </w:p>
    <w:p w14:paraId="6CE9DD2C" w14:textId="77777777" w:rsidR="00BA0B77" w:rsidRDefault="00000000">
      <w:pPr>
        <w:numPr>
          <w:ilvl w:val="0"/>
          <w:numId w:val="13"/>
        </w:numPr>
        <w:spacing w:line="358" w:lineRule="auto"/>
        <w:ind w:right="67"/>
      </w:pPr>
      <w:proofErr w:type="spellStart"/>
      <w:r>
        <w:lastRenderedPageBreak/>
        <w:t>Blocarea</w:t>
      </w:r>
      <w:proofErr w:type="spellEnd"/>
      <w:r>
        <w:t xml:space="preserve"> </w:t>
      </w:r>
      <w:proofErr w:type="spellStart"/>
      <w:r>
        <w:t>imediată</w:t>
      </w:r>
      <w:proofErr w:type="spellEnd"/>
      <w:r>
        <w:t xml:space="preserve"> a </w:t>
      </w:r>
      <w:proofErr w:type="spellStart"/>
      <w:r>
        <w:t>numerelor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spoofing, a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frauduloase</w:t>
      </w:r>
      <w:proofErr w:type="spellEnd"/>
      <w:r>
        <w:t xml:space="preserve">, a </w:t>
      </w:r>
      <w:proofErr w:type="spellStart"/>
      <w:r>
        <w:t>conturilor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infracționale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</w:t>
      </w:r>
    </w:p>
    <w:p w14:paraId="62D6CC5B" w14:textId="77777777" w:rsidR="00BA0B77" w:rsidRDefault="00000000">
      <w:pPr>
        <w:numPr>
          <w:ilvl w:val="0"/>
          <w:numId w:val="13"/>
        </w:numPr>
        <w:spacing w:line="356" w:lineRule="auto"/>
        <w:ind w:right="67"/>
      </w:pPr>
      <w:proofErr w:type="spellStart"/>
      <w:r>
        <w:t>Implementarea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de </w:t>
      </w:r>
      <w:proofErr w:type="spellStart"/>
      <w:r>
        <w:t>telefonie</w:t>
      </w:r>
      <w:proofErr w:type="spellEnd"/>
      <w:r>
        <w:t xml:space="preserve">, a 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software de </w:t>
      </w:r>
      <w:proofErr w:type="spellStart"/>
      <w:r>
        <w:t>autentificare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originii</w:t>
      </w:r>
      <w:proofErr w:type="spellEnd"/>
      <w:r>
        <w:t xml:space="preserve"> </w:t>
      </w:r>
      <w:proofErr w:type="spellStart"/>
      <w:r>
        <w:t>apelurilor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blocare</w:t>
      </w:r>
      <w:proofErr w:type="spellEnd"/>
      <w:r>
        <w:t xml:space="preserve"> a spoofing-</w:t>
      </w:r>
      <w:proofErr w:type="spellStart"/>
      <w:r>
        <w:t>ului</w:t>
      </w:r>
      <w:proofErr w:type="spellEnd"/>
      <w:r>
        <w:t xml:space="preserve">, conform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. </w:t>
      </w:r>
    </w:p>
    <w:p w14:paraId="656AA423" w14:textId="77777777" w:rsidR="00BA0B77" w:rsidRDefault="00000000">
      <w:pPr>
        <w:numPr>
          <w:ilvl w:val="0"/>
          <w:numId w:val="13"/>
        </w:numPr>
        <w:spacing w:line="358" w:lineRule="auto"/>
        <w:ind w:right="67"/>
      </w:pPr>
      <w:proofErr w:type="spellStart"/>
      <w:r>
        <w:t>Introducerea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mecanism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alertare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 a </w:t>
      </w:r>
      <w:proofErr w:type="spellStart"/>
      <w:r>
        <w:t>populației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SMS, </w:t>
      </w:r>
      <w:proofErr w:type="spellStart"/>
      <w:r>
        <w:t>aplicații</w:t>
      </w:r>
      <w:proofErr w:type="spellEnd"/>
      <w:r>
        <w:t xml:space="preserve"> mobile, </w:t>
      </w:r>
      <w:proofErr w:type="spellStart"/>
      <w:r>
        <w:t>notificări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canale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limbile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rusă</w:t>
      </w:r>
      <w:proofErr w:type="spellEnd"/>
      <w:r>
        <w:t xml:space="preserve">. </w:t>
      </w:r>
    </w:p>
    <w:p w14:paraId="4727ADD4" w14:textId="77777777" w:rsidR="00BA0B77" w:rsidRDefault="00000000">
      <w:pPr>
        <w:numPr>
          <w:ilvl w:val="0"/>
          <w:numId w:val="13"/>
        </w:numPr>
        <w:spacing w:line="353" w:lineRule="auto"/>
        <w:ind w:right="67"/>
      </w:pPr>
      <w:proofErr w:type="spellStart"/>
      <w:r>
        <w:t>Monitorizarea</w:t>
      </w:r>
      <w:proofErr w:type="spellEnd"/>
      <w:r>
        <w:t xml:space="preserve"> </w:t>
      </w:r>
      <w:proofErr w:type="spellStart"/>
      <w:r>
        <w:t>permanentă</w:t>
      </w:r>
      <w:proofErr w:type="spellEnd"/>
      <w:r>
        <w:t xml:space="preserve"> a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tipologii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de </w:t>
      </w:r>
      <w:proofErr w:type="spellStart"/>
      <w:r>
        <w:t>recomandări</w:t>
      </w:r>
      <w:proofErr w:type="spellEnd"/>
      <w:r>
        <w:t xml:space="preserve"> operative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 xml:space="preserve">. </w:t>
      </w:r>
    </w:p>
    <w:p w14:paraId="5844730F" w14:textId="77777777" w:rsidR="00BA0B77" w:rsidRDefault="00000000">
      <w:pPr>
        <w:numPr>
          <w:ilvl w:val="0"/>
          <w:numId w:val="13"/>
        </w:numPr>
        <w:spacing w:line="358" w:lineRule="auto"/>
        <w:ind w:right="67"/>
      </w:pPr>
      <w:proofErr w:type="spellStart"/>
      <w:r>
        <w:t>Coordonarea</w:t>
      </w:r>
      <w:proofErr w:type="spellEnd"/>
      <w:r>
        <w:t xml:space="preserve"> </w:t>
      </w:r>
      <w:proofErr w:type="spellStart"/>
      <w:r>
        <w:t>operațiunilor</w:t>
      </w:r>
      <w:proofErr w:type="spellEnd"/>
      <w:r>
        <w:t xml:space="preserve"> </w:t>
      </w:r>
      <w:proofErr w:type="spellStart"/>
      <w:r>
        <w:t>cibernetice</w:t>
      </w:r>
      <w:proofErr w:type="spellEnd"/>
      <w:r>
        <w:t xml:space="preserve"> defensive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a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ofensive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de </w:t>
      </w:r>
      <w:proofErr w:type="spellStart"/>
      <w:r>
        <w:t>grupările</w:t>
      </w:r>
      <w:proofErr w:type="spellEnd"/>
      <w:r>
        <w:t xml:space="preserve"> </w:t>
      </w:r>
      <w:proofErr w:type="spellStart"/>
      <w:r>
        <w:t>criminale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. </w:t>
      </w:r>
    </w:p>
    <w:p w14:paraId="54FEE682" w14:textId="77777777" w:rsidR="00BA0B77" w:rsidRDefault="00000000">
      <w:pPr>
        <w:numPr>
          <w:ilvl w:val="0"/>
          <w:numId w:val="13"/>
        </w:numPr>
        <w:spacing w:line="358" w:lineRule="auto"/>
        <w:ind w:right="67"/>
      </w:pPr>
      <w:proofErr w:type="spellStart"/>
      <w:r>
        <w:t>Elaborarea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victimelor</w:t>
      </w:r>
      <w:proofErr w:type="spellEnd"/>
      <w:r>
        <w:t xml:space="preserve">, </w:t>
      </w:r>
      <w:proofErr w:type="spellStart"/>
      <w:r>
        <w:t>prejudiciile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fondurile</w:t>
      </w:r>
      <w:proofErr w:type="spellEnd"/>
      <w:r>
        <w:t xml:space="preserve"> recuperate, 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eficiența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întreprinse</w:t>
      </w:r>
      <w:proofErr w:type="spellEnd"/>
      <w:r>
        <w:t xml:space="preserve">. </w:t>
      </w:r>
    </w:p>
    <w:p w14:paraId="51DDDDD2" w14:textId="77777777" w:rsidR="00BA0B77" w:rsidRDefault="00000000">
      <w:pPr>
        <w:numPr>
          <w:ilvl w:val="0"/>
          <w:numId w:val="13"/>
        </w:numPr>
        <w:spacing w:line="356" w:lineRule="auto"/>
        <w:ind w:right="67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periodică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 a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Punctului</w:t>
      </w:r>
      <w:proofErr w:type="spellEnd"/>
      <w:r>
        <w:t xml:space="preserve"> Focal </w:t>
      </w:r>
      <w:proofErr w:type="spellStart"/>
      <w:r>
        <w:t>Național</w:t>
      </w:r>
      <w:proofErr w:type="spellEnd"/>
      <w:r>
        <w:t xml:space="preserve"> Anti-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propunerilor</w:t>
      </w:r>
      <w:proofErr w:type="spellEnd"/>
      <w:r>
        <w:t xml:space="preserve"> legislative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a </w:t>
      </w:r>
      <w:proofErr w:type="spellStart"/>
      <w:r>
        <w:t>fraudelor</w:t>
      </w:r>
      <w:proofErr w:type="spellEnd"/>
      <w:r>
        <w:t xml:space="preserve"> </w:t>
      </w:r>
      <w:proofErr w:type="spellStart"/>
      <w:r>
        <w:t>telefonice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online. </w:t>
      </w:r>
    </w:p>
    <w:p w14:paraId="47939DE6" w14:textId="77777777" w:rsidR="00BA0B77" w:rsidRDefault="00000000">
      <w:pPr>
        <w:spacing w:after="156" w:line="357" w:lineRule="auto"/>
        <w:ind w:left="835" w:right="67"/>
      </w:pPr>
      <w:proofErr w:type="spellStart"/>
      <w:r>
        <w:t>Prezentele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acoperirea</w:t>
      </w:r>
      <w:proofErr w:type="spellEnd"/>
      <w:r>
        <w:t xml:space="preserve"> </w:t>
      </w:r>
      <w:proofErr w:type="spellStart"/>
      <w:r>
        <w:t>lacunelor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investigative </w:t>
      </w:r>
      <w:proofErr w:type="spellStart"/>
      <w:r>
        <w:t>și</w:t>
      </w:r>
      <w:proofErr w:type="spellEnd"/>
      <w:r>
        <w:t xml:space="preserve"> sunt orientate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care permit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neîntreruptă</w:t>
      </w:r>
      <w:proofErr w:type="spellEnd"/>
      <w:r>
        <w:t xml:space="preserve"> a </w:t>
      </w:r>
      <w:proofErr w:type="spellStart"/>
      <w:r>
        <w:t>rețelelor</w:t>
      </w:r>
      <w:proofErr w:type="spellEnd"/>
      <w:r>
        <w:t xml:space="preserve"> </w:t>
      </w:r>
      <w:proofErr w:type="spellStart"/>
      <w:r>
        <w:t>infracționale</w:t>
      </w:r>
      <w:proofErr w:type="spellEnd"/>
      <w:r>
        <w:t xml:space="preserve">.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sistemică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verigilor</w:t>
      </w:r>
      <w:proofErr w:type="spellEnd"/>
      <w:r>
        <w:t xml:space="preserve"> </w:t>
      </w:r>
      <w:proofErr w:type="spellStart"/>
      <w:r>
        <w:t>lanțului</w:t>
      </w:r>
      <w:proofErr w:type="spellEnd"/>
      <w:r>
        <w:t xml:space="preserve"> — de la </w:t>
      </w:r>
      <w:proofErr w:type="spellStart"/>
      <w:r>
        <w:t>recrutarea</w:t>
      </w:r>
      <w:proofErr w:type="spellEnd"/>
      <w:r>
        <w:t xml:space="preserve"> </w:t>
      </w:r>
      <w:proofErr w:type="spellStart"/>
      <w:r>
        <w:t>victimelor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intermediari</w:t>
      </w:r>
      <w:proofErr w:type="spellEnd"/>
      <w:r>
        <w:t xml:space="preserve"> </w:t>
      </w:r>
      <w:proofErr w:type="spellStart"/>
      <w:r>
        <w:t>publicitari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disimularea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a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active </w:t>
      </w:r>
      <w:proofErr w:type="spellStart"/>
      <w:r>
        <w:t>virtuale</w:t>
      </w:r>
      <w:proofErr w:type="spellEnd"/>
      <w:r>
        <w:t xml:space="preserve"> — </w:t>
      </w:r>
      <w:proofErr w:type="spellStart"/>
      <w:r>
        <w:t>eficiența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combatere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limitată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prejudiciul</w:t>
      </w:r>
      <w:proofErr w:type="spellEnd"/>
      <w:r>
        <w:t xml:space="preserve"> </w:t>
      </w:r>
      <w:proofErr w:type="spellStart"/>
      <w:r>
        <w:t>continuu</w:t>
      </w:r>
      <w:proofErr w:type="spellEnd"/>
      <w:r>
        <w:t xml:space="preserve"> al </w:t>
      </w:r>
      <w:proofErr w:type="spellStart"/>
      <w:r>
        <w:t>cetățenilor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menține</w:t>
      </w:r>
      <w:proofErr w:type="spellEnd"/>
      <w:r>
        <w:t xml:space="preserve"> pe o </w:t>
      </w:r>
      <w:proofErr w:type="spellStart"/>
      <w:r>
        <w:t>traiectorie</w:t>
      </w:r>
      <w:proofErr w:type="spellEnd"/>
      <w:r>
        <w:t xml:space="preserve"> </w:t>
      </w:r>
      <w:proofErr w:type="spellStart"/>
      <w:r>
        <w:t>ascendentă</w:t>
      </w:r>
      <w:proofErr w:type="spellEnd"/>
      <w:r>
        <w:t xml:space="preserve">. </w:t>
      </w:r>
    </w:p>
    <w:p w14:paraId="051D6DE1" w14:textId="77777777" w:rsidR="00BA0B77" w:rsidRDefault="00000000">
      <w:pPr>
        <w:spacing w:after="248" w:line="259" w:lineRule="auto"/>
        <w:ind w:left="850" w:firstLine="0"/>
        <w:jc w:val="left"/>
      </w:pPr>
      <w:r>
        <w:rPr>
          <w:sz w:val="28"/>
        </w:rPr>
        <w:t xml:space="preserve"> </w:t>
      </w:r>
    </w:p>
    <w:p w14:paraId="550D04BD" w14:textId="77777777" w:rsidR="00BA0B77" w:rsidRDefault="00000000">
      <w:pPr>
        <w:spacing w:after="249" w:line="259" w:lineRule="auto"/>
        <w:ind w:left="850" w:firstLine="0"/>
        <w:jc w:val="left"/>
      </w:pPr>
      <w:r>
        <w:rPr>
          <w:sz w:val="28"/>
        </w:rPr>
        <w:t xml:space="preserve"> </w:t>
      </w:r>
    </w:p>
    <w:p w14:paraId="6F7BA2BF" w14:textId="77777777" w:rsidR="00BA0B77" w:rsidRDefault="00000000">
      <w:pPr>
        <w:spacing w:after="253" w:line="259" w:lineRule="auto"/>
        <w:ind w:left="850" w:firstLine="0"/>
        <w:jc w:val="left"/>
      </w:pPr>
      <w:r>
        <w:rPr>
          <w:sz w:val="28"/>
        </w:rPr>
        <w:t xml:space="preserve">Cu respect, </w:t>
      </w:r>
    </w:p>
    <w:p w14:paraId="751F5C4A" w14:textId="77777777" w:rsidR="00BA0B77" w:rsidRDefault="00000000">
      <w:pPr>
        <w:spacing w:after="248" w:line="259" w:lineRule="auto"/>
        <w:ind w:left="0" w:right="67" w:firstLine="0"/>
        <w:jc w:val="right"/>
      </w:pPr>
      <w:r>
        <w:rPr>
          <w:b/>
          <w:sz w:val="28"/>
        </w:rPr>
        <w:t xml:space="preserve">Renato USATÎI </w:t>
      </w:r>
    </w:p>
    <w:p w14:paraId="4F247A18" w14:textId="77777777" w:rsidR="00BA0B77" w:rsidRDefault="00000000">
      <w:pPr>
        <w:spacing w:after="219" w:line="259" w:lineRule="auto"/>
        <w:ind w:left="0" w:firstLine="0"/>
        <w:jc w:val="right"/>
      </w:pPr>
      <w:r>
        <w:rPr>
          <w:b/>
          <w:sz w:val="28"/>
        </w:rPr>
        <w:t xml:space="preserve"> </w:t>
      </w:r>
    </w:p>
    <w:p w14:paraId="456CC442" w14:textId="77777777" w:rsidR="00BA0B77" w:rsidRDefault="00000000">
      <w:pPr>
        <w:spacing w:after="233" w:line="259" w:lineRule="auto"/>
        <w:ind w:left="850" w:firstLine="0"/>
        <w:jc w:val="left"/>
      </w:pPr>
      <w:r>
        <w:t xml:space="preserve"> </w:t>
      </w:r>
    </w:p>
    <w:p w14:paraId="78B1F423" w14:textId="77777777" w:rsidR="00BA0B77" w:rsidRDefault="00000000">
      <w:pPr>
        <w:spacing w:after="0" w:line="259" w:lineRule="auto"/>
        <w:ind w:left="850" w:firstLine="0"/>
        <w:jc w:val="left"/>
      </w:pPr>
      <w:r>
        <w:t xml:space="preserve"> </w:t>
      </w:r>
    </w:p>
    <w:sectPr w:rsidR="00BA0B77">
      <w:footerReference w:type="even" r:id="rId8"/>
      <w:footerReference w:type="default" r:id="rId9"/>
      <w:footerReference w:type="first" r:id="rId10"/>
      <w:pgSz w:w="11905" w:h="16840"/>
      <w:pgMar w:top="719" w:right="944" w:bottom="51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E48B" w14:textId="77777777" w:rsidR="00192A2C" w:rsidRDefault="00192A2C">
      <w:pPr>
        <w:spacing w:after="0" w:line="240" w:lineRule="auto"/>
      </w:pPr>
      <w:r>
        <w:separator/>
      </w:r>
    </w:p>
  </w:endnote>
  <w:endnote w:type="continuationSeparator" w:id="0">
    <w:p w14:paraId="33F596BF" w14:textId="77777777" w:rsidR="00192A2C" w:rsidRDefault="0019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5F02" w14:textId="77777777" w:rsidR="00BA0B77" w:rsidRDefault="00000000">
    <w:pPr>
      <w:spacing w:after="13" w:line="259" w:lineRule="auto"/>
      <w:ind w:left="0" w:right="7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969C117" w14:textId="77777777" w:rsidR="00BA0B77" w:rsidRDefault="00000000">
    <w:pPr>
      <w:spacing w:after="0" w:line="259" w:lineRule="auto"/>
      <w:ind w:left="1036" w:firstLine="0"/>
      <w:jc w:val="left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7E43" w14:textId="77777777" w:rsidR="00BA0B77" w:rsidRDefault="00000000">
    <w:pPr>
      <w:spacing w:after="13" w:line="259" w:lineRule="auto"/>
      <w:ind w:left="0" w:right="7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A1A9CFD" w14:textId="77777777" w:rsidR="00BA0B77" w:rsidRDefault="00000000">
    <w:pPr>
      <w:spacing w:after="0" w:line="259" w:lineRule="auto"/>
      <w:ind w:left="1036" w:firstLine="0"/>
      <w:jc w:val="left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5462" w14:textId="77777777" w:rsidR="00BA0B77" w:rsidRDefault="00BA0B7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17CC" w14:textId="77777777" w:rsidR="00192A2C" w:rsidRDefault="00192A2C">
      <w:pPr>
        <w:spacing w:after="0" w:line="240" w:lineRule="auto"/>
      </w:pPr>
      <w:r>
        <w:separator/>
      </w:r>
    </w:p>
  </w:footnote>
  <w:footnote w:type="continuationSeparator" w:id="0">
    <w:p w14:paraId="763209C3" w14:textId="77777777" w:rsidR="00192A2C" w:rsidRDefault="00192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090"/>
    <w:multiLevelType w:val="hybridMultilevel"/>
    <w:tmpl w:val="3EA6EDD0"/>
    <w:lvl w:ilvl="0" w:tplc="0532C86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EBF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E38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061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E18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A67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C0A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402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4BE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EE3ACB"/>
    <w:multiLevelType w:val="hybridMultilevel"/>
    <w:tmpl w:val="64F0C75A"/>
    <w:lvl w:ilvl="0" w:tplc="446AF6AA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A0A7C">
      <w:start w:val="1"/>
      <w:numFmt w:val="bullet"/>
      <w:lvlText w:val="o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86C0A">
      <w:start w:val="1"/>
      <w:numFmt w:val="bullet"/>
      <w:lvlText w:val="▪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8EDAA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CE558">
      <w:start w:val="1"/>
      <w:numFmt w:val="bullet"/>
      <w:lvlText w:val="o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678A4">
      <w:start w:val="1"/>
      <w:numFmt w:val="bullet"/>
      <w:lvlText w:val="▪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667AA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CA6E0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8BA14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D5423"/>
    <w:multiLevelType w:val="hybridMultilevel"/>
    <w:tmpl w:val="F91E8998"/>
    <w:lvl w:ilvl="0" w:tplc="14205876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CBF4E">
      <w:start w:val="1"/>
      <w:numFmt w:val="bullet"/>
      <w:lvlText w:val="o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0B2FE">
      <w:start w:val="1"/>
      <w:numFmt w:val="bullet"/>
      <w:lvlText w:val="▪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6EA3C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41B52">
      <w:start w:val="1"/>
      <w:numFmt w:val="bullet"/>
      <w:lvlText w:val="o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AA16">
      <w:start w:val="1"/>
      <w:numFmt w:val="bullet"/>
      <w:lvlText w:val="▪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04C62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03848">
      <w:start w:val="1"/>
      <w:numFmt w:val="bullet"/>
      <w:lvlText w:val="o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46230">
      <w:start w:val="1"/>
      <w:numFmt w:val="bullet"/>
      <w:lvlText w:val="▪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F166AA"/>
    <w:multiLevelType w:val="hybridMultilevel"/>
    <w:tmpl w:val="A12A3D12"/>
    <w:lvl w:ilvl="0" w:tplc="53ECE598">
      <w:start w:val="1"/>
      <w:numFmt w:val="bullet"/>
      <w:lvlText w:val="•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A668E">
      <w:start w:val="1"/>
      <w:numFmt w:val="bullet"/>
      <w:lvlText w:val="o"/>
      <w:lvlJc w:val="left"/>
      <w:pPr>
        <w:ind w:left="1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AC636">
      <w:start w:val="1"/>
      <w:numFmt w:val="bullet"/>
      <w:lvlText w:val="▪"/>
      <w:lvlJc w:val="left"/>
      <w:pPr>
        <w:ind w:left="1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EE08A">
      <w:start w:val="1"/>
      <w:numFmt w:val="bullet"/>
      <w:lvlText w:val="•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89AD8">
      <w:start w:val="1"/>
      <w:numFmt w:val="bullet"/>
      <w:lvlText w:val="o"/>
      <w:lvlJc w:val="left"/>
      <w:pPr>
        <w:ind w:left="3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6F3DC">
      <w:start w:val="1"/>
      <w:numFmt w:val="bullet"/>
      <w:lvlText w:val="▪"/>
      <w:lvlJc w:val="left"/>
      <w:pPr>
        <w:ind w:left="4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A1CDC">
      <w:start w:val="1"/>
      <w:numFmt w:val="bullet"/>
      <w:lvlText w:val="•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C3120">
      <w:start w:val="1"/>
      <w:numFmt w:val="bullet"/>
      <w:lvlText w:val="o"/>
      <w:lvlJc w:val="left"/>
      <w:pPr>
        <w:ind w:left="5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4F26C">
      <w:start w:val="1"/>
      <w:numFmt w:val="bullet"/>
      <w:lvlText w:val="▪"/>
      <w:lvlJc w:val="left"/>
      <w:pPr>
        <w:ind w:left="6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021F67"/>
    <w:multiLevelType w:val="hybridMultilevel"/>
    <w:tmpl w:val="F3B28E30"/>
    <w:lvl w:ilvl="0" w:tplc="4FB2F180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4ED3A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ED6BC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E39CE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43260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432FE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C9DE4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617A2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840C0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314C9"/>
    <w:multiLevelType w:val="hybridMultilevel"/>
    <w:tmpl w:val="2FA8C742"/>
    <w:lvl w:ilvl="0" w:tplc="D44ABA8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A1A8C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491E2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1A5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E37D8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6CBC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4390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4B166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C5594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FB6B9D"/>
    <w:multiLevelType w:val="hybridMultilevel"/>
    <w:tmpl w:val="70AA9E92"/>
    <w:lvl w:ilvl="0" w:tplc="E2CEB610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61C70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0C1CC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0BA9E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A5016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69AE6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4502A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0FBB4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0405A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872D5"/>
    <w:multiLevelType w:val="hybridMultilevel"/>
    <w:tmpl w:val="3B9E9498"/>
    <w:lvl w:ilvl="0" w:tplc="039A96DA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07248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F83E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865D0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69160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C6462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F68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C88D6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E8780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5B4E51"/>
    <w:multiLevelType w:val="hybridMultilevel"/>
    <w:tmpl w:val="62CCB982"/>
    <w:lvl w:ilvl="0" w:tplc="3CFE4D30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0D1F8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6F906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C47CA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C6B0C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C9A06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C2380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8D1A0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E0D96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0F35A9"/>
    <w:multiLevelType w:val="hybridMultilevel"/>
    <w:tmpl w:val="A3E86930"/>
    <w:lvl w:ilvl="0" w:tplc="BF8A983E">
      <w:start w:val="1"/>
      <w:numFmt w:val="decimal"/>
      <w:lvlText w:val="%1."/>
      <w:lvlJc w:val="left"/>
      <w:pPr>
        <w:ind w:left="83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0E35A">
      <w:start w:val="1"/>
      <w:numFmt w:val="lowerLetter"/>
      <w:lvlText w:val="%2"/>
      <w:lvlJc w:val="left"/>
      <w:pPr>
        <w:ind w:left="12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4A46E">
      <w:start w:val="1"/>
      <w:numFmt w:val="lowerRoman"/>
      <w:lvlText w:val="%3"/>
      <w:lvlJc w:val="left"/>
      <w:pPr>
        <w:ind w:left="20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C0334">
      <w:start w:val="1"/>
      <w:numFmt w:val="decimal"/>
      <w:lvlText w:val="%4"/>
      <w:lvlJc w:val="left"/>
      <w:pPr>
        <w:ind w:left="27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4040C">
      <w:start w:val="1"/>
      <w:numFmt w:val="lowerLetter"/>
      <w:lvlText w:val="%5"/>
      <w:lvlJc w:val="left"/>
      <w:pPr>
        <w:ind w:left="344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45166">
      <w:start w:val="1"/>
      <w:numFmt w:val="lowerRoman"/>
      <w:lvlText w:val="%6"/>
      <w:lvlJc w:val="left"/>
      <w:pPr>
        <w:ind w:left="41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E1644">
      <w:start w:val="1"/>
      <w:numFmt w:val="decimal"/>
      <w:lvlText w:val="%7"/>
      <w:lvlJc w:val="left"/>
      <w:pPr>
        <w:ind w:left="48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C5034">
      <w:start w:val="1"/>
      <w:numFmt w:val="lowerLetter"/>
      <w:lvlText w:val="%8"/>
      <w:lvlJc w:val="left"/>
      <w:pPr>
        <w:ind w:left="56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094">
      <w:start w:val="1"/>
      <w:numFmt w:val="lowerRoman"/>
      <w:lvlText w:val="%9"/>
      <w:lvlJc w:val="left"/>
      <w:pPr>
        <w:ind w:left="63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B64BB6"/>
    <w:multiLevelType w:val="hybridMultilevel"/>
    <w:tmpl w:val="A5AE8C18"/>
    <w:lvl w:ilvl="0" w:tplc="E72E6878">
      <w:start w:val="3"/>
      <w:numFmt w:val="decimal"/>
      <w:lvlText w:val="%1."/>
      <w:lvlJc w:val="left"/>
      <w:pPr>
        <w:ind w:left="83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81606">
      <w:start w:val="1"/>
      <w:numFmt w:val="lowerLetter"/>
      <w:lvlText w:val="%2"/>
      <w:lvlJc w:val="left"/>
      <w:pPr>
        <w:ind w:left="11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E2BB2">
      <w:start w:val="1"/>
      <w:numFmt w:val="lowerRoman"/>
      <w:lvlText w:val="%3"/>
      <w:lvlJc w:val="left"/>
      <w:pPr>
        <w:ind w:left="18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EEBEC">
      <w:start w:val="1"/>
      <w:numFmt w:val="decimal"/>
      <w:lvlText w:val="%4"/>
      <w:lvlJc w:val="left"/>
      <w:pPr>
        <w:ind w:left="26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6368C">
      <w:start w:val="1"/>
      <w:numFmt w:val="lowerLetter"/>
      <w:lvlText w:val="%5"/>
      <w:lvlJc w:val="left"/>
      <w:pPr>
        <w:ind w:left="33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A41AE">
      <w:start w:val="1"/>
      <w:numFmt w:val="lowerRoman"/>
      <w:lvlText w:val="%6"/>
      <w:lvlJc w:val="left"/>
      <w:pPr>
        <w:ind w:left="40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C29D8">
      <w:start w:val="1"/>
      <w:numFmt w:val="decimal"/>
      <w:lvlText w:val="%7"/>
      <w:lvlJc w:val="left"/>
      <w:pPr>
        <w:ind w:left="47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80D10">
      <w:start w:val="1"/>
      <w:numFmt w:val="lowerLetter"/>
      <w:lvlText w:val="%8"/>
      <w:lvlJc w:val="left"/>
      <w:pPr>
        <w:ind w:left="54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A7AFA">
      <w:start w:val="1"/>
      <w:numFmt w:val="lowerRoman"/>
      <w:lvlText w:val="%9"/>
      <w:lvlJc w:val="left"/>
      <w:pPr>
        <w:ind w:left="62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3E564D"/>
    <w:multiLevelType w:val="hybridMultilevel"/>
    <w:tmpl w:val="3EB061CA"/>
    <w:lvl w:ilvl="0" w:tplc="DCDA18C0">
      <w:start w:val="1"/>
      <w:numFmt w:val="bullet"/>
      <w:lvlText w:val="•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8B8C6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45C80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4130E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8DCFA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AA792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4022C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EC09E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8DF68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653E63"/>
    <w:multiLevelType w:val="hybridMultilevel"/>
    <w:tmpl w:val="5E1CB826"/>
    <w:lvl w:ilvl="0" w:tplc="196E14DA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EBA6E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43C72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44D92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E4626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45AB8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258F4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C53E2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09FCC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1008534">
    <w:abstractNumId w:val="6"/>
  </w:num>
  <w:num w:numId="2" w16cid:durableId="465896977">
    <w:abstractNumId w:val="7"/>
  </w:num>
  <w:num w:numId="3" w16cid:durableId="792679099">
    <w:abstractNumId w:val="4"/>
  </w:num>
  <w:num w:numId="4" w16cid:durableId="1322998678">
    <w:abstractNumId w:val="8"/>
  </w:num>
  <w:num w:numId="5" w16cid:durableId="1648196778">
    <w:abstractNumId w:val="1"/>
  </w:num>
  <w:num w:numId="6" w16cid:durableId="2122145438">
    <w:abstractNumId w:val="11"/>
  </w:num>
  <w:num w:numId="7" w16cid:durableId="594216958">
    <w:abstractNumId w:val="12"/>
  </w:num>
  <w:num w:numId="8" w16cid:durableId="91518138">
    <w:abstractNumId w:val="2"/>
  </w:num>
  <w:num w:numId="9" w16cid:durableId="1590961769">
    <w:abstractNumId w:val="5"/>
  </w:num>
  <w:num w:numId="10" w16cid:durableId="1594778436">
    <w:abstractNumId w:val="0"/>
  </w:num>
  <w:num w:numId="11" w16cid:durableId="815685292">
    <w:abstractNumId w:val="9"/>
  </w:num>
  <w:num w:numId="12" w16cid:durableId="216161668">
    <w:abstractNumId w:val="3"/>
  </w:num>
  <w:num w:numId="13" w16cid:durableId="176119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B77"/>
    <w:rsid w:val="00192A2C"/>
    <w:rsid w:val="00B50633"/>
    <w:rsid w:val="00BA0B77"/>
    <w:rsid w:val="00F2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6E13"/>
  <w15:docId w15:val="{4F5046E6-5586-45A9-9F17-A8278824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9" w:line="267" w:lineRule="auto"/>
      <w:ind w:left="1226" w:firstLine="56"/>
      <w:jc w:val="both"/>
    </w:pPr>
    <w:rPr>
      <w:rFonts w:ascii="Georgia" w:eastAsia="Georgia" w:hAnsi="Georgia" w:cs="Georg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9" w:line="259" w:lineRule="auto"/>
      <w:ind w:right="71"/>
      <w:jc w:val="right"/>
      <w:outlineLvl w:val="0"/>
    </w:pPr>
    <w:rPr>
      <w:rFonts w:ascii="Georgia" w:eastAsia="Georgia" w:hAnsi="Georgia" w:cs="Georgia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3" w:line="259" w:lineRule="auto"/>
      <w:ind w:left="860" w:hanging="10"/>
      <w:outlineLvl w:val="1"/>
    </w:pPr>
    <w:rPr>
      <w:rFonts w:ascii="Georgia" w:eastAsia="Georgia" w:hAnsi="Georgia" w:cs="Georg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Georgia" w:eastAsia="Georgia" w:hAnsi="Georgia" w:cs="Georg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2813</Words>
  <Characters>16038</Characters>
  <Application>Microsoft Office Word</Application>
  <DocSecurity>0</DocSecurity>
  <Lines>133</Lines>
  <Paragraphs>37</Paragraphs>
  <ScaleCrop>false</ScaleCrop>
  <Company/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maria</dc:creator>
  <cp:keywords/>
  <cp:lastModifiedBy>PN</cp:lastModifiedBy>
  <cp:revision>2</cp:revision>
  <dcterms:created xsi:type="dcterms:W3CDTF">2026-06-30T10:43:00Z</dcterms:created>
  <dcterms:modified xsi:type="dcterms:W3CDTF">2026-06-30T10:43:00Z</dcterms:modified>
</cp:coreProperties>
</file>